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F332D" w:rsidRDefault="006E68E8">
      <w:pPr>
        <w:widowControl w:val="0"/>
        <w:pBdr>
          <w:top w:val="nil"/>
          <w:left w:val="nil"/>
          <w:bottom w:val="nil"/>
          <w:right w:val="nil"/>
          <w:between w:val="nil"/>
        </w:pBdr>
        <w:spacing w:before="440" w:line="240" w:lineRule="auto"/>
        <w:rPr>
          <w:b/>
          <w:i/>
          <w:color w:val="231F20"/>
          <w:sz w:val="19"/>
          <w:szCs w:val="19"/>
        </w:rPr>
      </w:pPr>
      <w:bookmarkStart w:id="0" w:name="_GoBack"/>
      <w:bookmarkEnd w:id="0"/>
      <w:r>
        <w:rPr>
          <w:b/>
          <w:i/>
          <w:color w:val="231F20"/>
          <w:sz w:val="19"/>
          <w:szCs w:val="19"/>
        </w:rPr>
        <w:t xml:space="preserve">С.О. Прогонов </w:t>
      </w:r>
    </w:p>
    <w:p w:rsidR="001F332D" w:rsidRDefault="006E68E8">
      <w:pPr>
        <w:widowControl w:val="0"/>
        <w:pBdr>
          <w:top w:val="nil"/>
          <w:left w:val="nil"/>
          <w:bottom w:val="nil"/>
          <w:right w:val="nil"/>
          <w:between w:val="nil"/>
        </w:pBdr>
        <w:spacing w:before="6" w:line="240" w:lineRule="auto"/>
        <w:rPr>
          <w:b/>
          <w:i/>
          <w:color w:val="231F20"/>
          <w:sz w:val="19"/>
          <w:szCs w:val="19"/>
        </w:rPr>
      </w:pPr>
      <w:r>
        <w:rPr>
          <w:b/>
          <w:i/>
          <w:color w:val="231F20"/>
          <w:sz w:val="19"/>
          <w:szCs w:val="19"/>
        </w:rPr>
        <w:t xml:space="preserve">Г.Д. Радченко </w:t>
      </w:r>
    </w:p>
    <w:p w:rsidR="001F332D" w:rsidRDefault="006E68E8">
      <w:pPr>
        <w:widowControl w:val="0"/>
        <w:pBdr>
          <w:top w:val="nil"/>
          <w:left w:val="nil"/>
          <w:bottom w:val="nil"/>
          <w:right w:val="nil"/>
          <w:between w:val="nil"/>
        </w:pBdr>
        <w:spacing w:before="6" w:line="240" w:lineRule="auto"/>
        <w:rPr>
          <w:b/>
          <w:i/>
          <w:color w:val="231F20"/>
          <w:sz w:val="19"/>
          <w:szCs w:val="19"/>
        </w:rPr>
      </w:pPr>
      <w:r>
        <w:rPr>
          <w:b/>
          <w:i/>
          <w:color w:val="231F20"/>
          <w:sz w:val="19"/>
          <w:szCs w:val="19"/>
        </w:rPr>
        <w:t xml:space="preserve">О.П. Борткевич </w:t>
      </w:r>
    </w:p>
    <w:p w:rsidR="001F332D" w:rsidRDefault="006E68E8">
      <w:pPr>
        <w:widowControl w:val="0"/>
        <w:pBdr>
          <w:top w:val="nil"/>
          <w:left w:val="nil"/>
          <w:bottom w:val="nil"/>
          <w:right w:val="nil"/>
          <w:between w:val="nil"/>
        </w:pBdr>
        <w:spacing w:before="176" w:line="240" w:lineRule="auto"/>
        <w:rPr>
          <w:i/>
          <w:color w:val="231F20"/>
          <w:sz w:val="19"/>
          <w:szCs w:val="19"/>
        </w:rPr>
      </w:pPr>
      <w:r>
        <w:rPr>
          <w:i/>
          <w:color w:val="231F20"/>
          <w:sz w:val="19"/>
          <w:szCs w:val="19"/>
        </w:rPr>
        <w:t xml:space="preserve">ДУ «Національний  </w:t>
      </w:r>
    </w:p>
    <w:p w:rsidR="001F332D" w:rsidRDefault="006E68E8">
      <w:pPr>
        <w:widowControl w:val="0"/>
        <w:pBdr>
          <w:top w:val="nil"/>
          <w:left w:val="nil"/>
          <w:bottom w:val="nil"/>
          <w:right w:val="nil"/>
          <w:between w:val="nil"/>
        </w:pBdr>
        <w:spacing w:before="6" w:line="239" w:lineRule="auto"/>
        <w:rPr>
          <w:i/>
          <w:color w:val="231F20"/>
          <w:sz w:val="19"/>
          <w:szCs w:val="19"/>
        </w:rPr>
      </w:pPr>
      <w:r>
        <w:rPr>
          <w:i/>
          <w:color w:val="231F20"/>
          <w:sz w:val="19"/>
          <w:szCs w:val="19"/>
        </w:rPr>
        <w:t xml:space="preserve">науковий центр «Інститут  кардіології, клінічної та  регенеративної медицини  імені акад. М.Д. Стражеска»  НАМН України», м. Київ </w:t>
      </w:r>
    </w:p>
    <w:p w:rsidR="001F332D" w:rsidRDefault="006E68E8">
      <w:pPr>
        <w:widowControl w:val="0"/>
        <w:pBdr>
          <w:top w:val="nil"/>
          <w:left w:val="nil"/>
          <w:bottom w:val="nil"/>
          <w:right w:val="nil"/>
          <w:between w:val="nil"/>
        </w:pBdr>
        <w:spacing w:before="346" w:line="239" w:lineRule="auto"/>
        <w:rPr>
          <w:i/>
          <w:color w:val="231F20"/>
          <w:sz w:val="19"/>
          <w:szCs w:val="19"/>
        </w:rPr>
      </w:pPr>
      <w:r>
        <w:rPr>
          <w:b/>
          <w:color w:val="231F20"/>
          <w:sz w:val="19"/>
          <w:szCs w:val="19"/>
        </w:rPr>
        <w:t xml:space="preserve">Ключові слова: </w:t>
      </w:r>
      <w:r>
        <w:rPr>
          <w:i/>
          <w:color w:val="231F20"/>
          <w:sz w:val="19"/>
          <w:szCs w:val="19"/>
        </w:rPr>
        <w:t xml:space="preserve">системні  захворювання сполучної  тканини, легенева  </w:t>
      </w:r>
    </w:p>
    <w:p w:rsidR="001F332D" w:rsidRDefault="006E68E8">
      <w:pPr>
        <w:widowControl w:val="0"/>
        <w:pBdr>
          <w:top w:val="nil"/>
          <w:left w:val="nil"/>
          <w:bottom w:val="nil"/>
          <w:right w:val="nil"/>
          <w:between w:val="nil"/>
        </w:pBdr>
        <w:spacing w:before="6" w:line="240" w:lineRule="auto"/>
        <w:rPr>
          <w:i/>
          <w:color w:val="231F20"/>
          <w:sz w:val="19"/>
          <w:szCs w:val="19"/>
        </w:rPr>
      </w:pPr>
      <w:r>
        <w:rPr>
          <w:i/>
          <w:color w:val="231F20"/>
          <w:sz w:val="19"/>
          <w:szCs w:val="19"/>
        </w:rPr>
        <w:t xml:space="preserve">гіпертензія, легенева  </w:t>
      </w:r>
    </w:p>
    <w:p w:rsidR="001F332D" w:rsidRDefault="006E68E8">
      <w:pPr>
        <w:widowControl w:val="0"/>
        <w:pBdr>
          <w:top w:val="nil"/>
          <w:left w:val="nil"/>
          <w:bottom w:val="nil"/>
          <w:right w:val="nil"/>
          <w:between w:val="nil"/>
        </w:pBdr>
        <w:spacing w:before="6" w:line="239" w:lineRule="auto"/>
        <w:rPr>
          <w:i/>
          <w:color w:val="231F20"/>
          <w:sz w:val="19"/>
          <w:szCs w:val="19"/>
        </w:rPr>
      </w:pPr>
      <w:r>
        <w:rPr>
          <w:i/>
          <w:color w:val="231F20"/>
          <w:sz w:val="19"/>
          <w:szCs w:val="19"/>
        </w:rPr>
        <w:t xml:space="preserve">артеріальна гіпертензія,  хронічна тромбоемболічна  легенева гіпертензія, функція  зовнішнього дихання,  </w:t>
      </w:r>
    </w:p>
    <w:p w:rsidR="001F332D" w:rsidRDefault="006E68E8">
      <w:pPr>
        <w:widowControl w:val="0"/>
        <w:pBdr>
          <w:top w:val="nil"/>
          <w:left w:val="nil"/>
          <w:bottom w:val="nil"/>
          <w:right w:val="nil"/>
          <w:between w:val="nil"/>
        </w:pBdr>
        <w:spacing w:before="6" w:line="239" w:lineRule="auto"/>
        <w:rPr>
          <w:i/>
          <w:color w:val="231F20"/>
          <w:sz w:val="19"/>
          <w:szCs w:val="19"/>
        </w:rPr>
      </w:pPr>
      <w:r>
        <w:rPr>
          <w:i/>
          <w:color w:val="231F20"/>
          <w:sz w:val="19"/>
          <w:szCs w:val="19"/>
        </w:rPr>
        <w:t xml:space="preserve">спірометрія, дифузійна  здатність легень. </w:t>
      </w:r>
    </w:p>
    <w:p w:rsidR="001F332D" w:rsidRDefault="006E68E8">
      <w:pPr>
        <w:widowControl w:val="0"/>
        <w:pBdr>
          <w:top w:val="nil"/>
          <w:left w:val="nil"/>
          <w:bottom w:val="nil"/>
          <w:right w:val="nil"/>
          <w:between w:val="nil"/>
        </w:pBdr>
        <w:spacing w:line="240" w:lineRule="auto"/>
        <w:rPr>
          <w:color w:val="485E88"/>
          <w:sz w:val="24"/>
          <w:szCs w:val="24"/>
        </w:rPr>
      </w:pPr>
      <w:r>
        <w:rPr>
          <w:color w:val="485E88"/>
          <w:sz w:val="24"/>
          <w:szCs w:val="24"/>
        </w:rPr>
        <w:t>ВЛАСНІ СПОСТЕРЕЖЕННЯ</w:t>
      </w:r>
    </w:p>
    <w:p w:rsidR="001F332D" w:rsidRDefault="006E68E8">
      <w:pPr>
        <w:widowControl w:val="0"/>
        <w:pBdr>
          <w:top w:val="nil"/>
          <w:left w:val="nil"/>
          <w:bottom w:val="nil"/>
          <w:right w:val="nil"/>
          <w:between w:val="nil"/>
        </w:pBdr>
        <w:spacing w:before="36" w:line="240" w:lineRule="auto"/>
        <w:rPr>
          <w:color w:val="231F20"/>
          <w:sz w:val="12"/>
          <w:szCs w:val="12"/>
        </w:rPr>
      </w:pPr>
      <w:r>
        <w:rPr>
          <w:color w:val="231F20"/>
          <w:sz w:val="12"/>
          <w:szCs w:val="12"/>
        </w:rPr>
        <w:t xml:space="preserve">DOI: DOI: 10.32471/rheumatology.2707-6970.19793 </w:t>
      </w:r>
    </w:p>
    <w:p w:rsidR="001F332D" w:rsidRDefault="006E68E8">
      <w:pPr>
        <w:widowControl w:val="0"/>
        <w:pBdr>
          <w:top w:val="nil"/>
          <w:left w:val="nil"/>
          <w:bottom w:val="nil"/>
          <w:right w:val="nil"/>
          <w:between w:val="nil"/>
        </w:pBdr>
        <w:spacing w:line="240" w:lineRule="auto"/>
        <w:rPr>
          <w:color w:val="231F20"/>
          <w:sz w:val="12"/>
          <w:szCs w:val="12"/>
        </w:rPr>
      </w:pPr>
      <w:r>
        <w:rPr>
          <w:color w:val="231F20"/>
          <w:sz w:val="12"/>
          <w:szCs w:val="12"/>
        </w:rPr>
        <w:t xml:space="preserve">УДК: 616.12-008.331.1:616.24-005-004-033.1:616-036.12 </w:t>
      </w:r>
    </w:p>
    <w:p w:rsidR="001F332D" w:rsidRDefault="006E68E8">
      <w:pPr>
        <w:widowControl w:val="0"/>
        <w:pBdr>
          <w:top w:val="nil"/>
          <w:left w:val="nil"/>
          <w:bottom w:val="nil"/>
          <w:right w:val="nil"/>
          <w:between w:val="nil"/>
        </w:pBdr>
        <w:spacing w:before="41" w:line="239" w:lineRule="auto"/>
        <w:rPr>
          <w:b/>
          <w:color w:val="485E88"/>
          <w:sz w:val="36"/>
          <w:szCs w:val="36"/>
        </w:rPr>
      </w:pPr>
      <w:r>
        <w:rPr>
          <w:b/>
          <w:color w:val="485E88"/>
          <w:sz w:val="36"/>
          <w:szCs w:val="36"/>
        </w:rPr>
        <w:t xml:space="preserve">ФУНКЦІЯ ЗОВНІШНЬОГО  ДИХАННЯ ТА ДИФУЗІЙНА  ЗДАТНІСТЬ ЛЕГЕНЬ У ПАЦІЄНТІВ  ІЗ ЛАГ, АСОЦІЙОВАНОЮ  </w:t>
      </w:r>
    </w:p>
    <w:p w:rsidR="001F332D" w:rsidRDefault="006E68E8">
      <w:pPr>
        <w:widowControl w:val="0"/>
        <w:pBdr>
          <w:top w:val="nil"/>
          <w:left w:val="nil"/>
          <w:bottom w:val="nil"/>
          <w:right w:val="nil"/>
          <w:between w:val="nil"/>
        </w:pBdr>
        <w:spacing w:before="12" w:line="240" w:lineRule="auto"/>
        <w:rPr>
          <w:b/>
          <w:color w:val="485E88"/>
          <w:sz w:val="36"/>
          <w:szCs w:val="36"/>
        </w:rPr>
      </w:pPr>
      <w:r>
        <w:rPr>
          <w:b/>
          <w:color w:val="485E88"/>
          <w:sz w:val="36"/>
          <w:szCs w:val="36"/>
        </w:rPr>
        <w:t xml:space="preserve">ІЗ СИСТЕМНИМИ  </w:t>
      </w:r>
    </w:p>
    <w:p w:rsidR="001F332D" w:rsidRDefault="006E68E8">
      <w:pPr>
        <w:widowControl w:val="0"/>
        <w:pBdr>
          <w:top w:val="nil"/>
          <w:left w:val="nil"/>
          <w:bottom w:val="nil"/>
          <w:right w:val="nil"/>
          <w:between w:val="nil"/>
        </w:pBdr>
        <w:spacing w:before="11" w:line="239" w:lineRule="auto"/>
        <w:rPr>
          <w:b/>
          <w:color w:val="485E88"/>
          <w:sz w:val="36"/>
          <w:szCs w:val="36"/>
        </w:rPr>
      </w:pPr>
      <w:r>
        <w:rPr>
          <w:b/>
          <w:color w:val="485E88"/>
          <w:sz w:val="36"/>
          <w:szCs w:val="36"/>
        </w:rPr>
        <w:t xml:space="preserve">ЗАХВОРЮВАННЯМИ СПОЛУЧНОЇ  ТКАНИНИ, ПОРІВНЯНО  </w:t>
      </w:r>
    </w:p>
    <w:p w:rsidR="001F332D" w:rsidRDefault="006E68E8">
      <w:pPr>
        <w:widowControl w:val="0"/>
        <w:pBdr>
          <w:top w:val="nil"/>
          <w:left w:val="nil"/>
          <w:bottom w:val="nil"/>
          <w:right w:val="nil"/>
          <w:between w:val="nil"/>
        </w:pBdr>
        <w:spacing w:before="12" w:line="240" w:lineRule="auto"/>
        <w:rPr>
          <w:b/>
          <w:color w:val="485E88"/>
          <w:sz w:val="36"/>
          <w:szCs w:val="36"/>
        </w:rPr>
      </w:pPr>
      <w:r>
        <w:rPr>
          <w:b/>
          <w:color w:val="485E88"/>
          <w:sz w:val="36"/>
          <w:szCs w:val="36"/>
        </w:rPr>
        <w:t xml:space="preserve">З ІНШИМИ ФОРМАМИ ЛГ </w:t>
      </w:r>
    </w:p>
    <w:p w:rsidR="001F332D" w:rsidRDefault="006E68E8">
      <w:pPr>
        <w:widowControl w:val="0"/>
        <w:pBdr>
          <w:top w:val="nil"/>
          <w:left w:val="nil"/>
          <w:bottom w:val="nil"/>
          <w:right w:val="nil"/>
          <w:between w:val="nil"/>
        </w:pBdr>
        <w:spacing w:before="147" w:line="236" w:lineRule="auto"/>
        <w:rPr>
          <w:i/>
          <w:color w:val="231F20"/>
          <w:sz w:val="19"/>
          <w:szCs w:val="19"/>
        </w:rPr>
      </w:pPr>
      <w:r>
        <w:rPr>
          <w:b/>
          <w:i/>
          <w:color w:val="231F20"/>
          <w:sz w:val="19"/>
          <w:szCs w:val="19"/>
        </w:rPr>
        <w:t xml:space="preserve">Мета дослідження: </w:t>
      </w:r>
      <w:r>
        <w:rPr>
          <w:i/>
          <w:color w:val="231F20"/>
          <w:sz w:val="19"/>
          <w:szCs w:val="19"/>
        </w:rPr>
        <w:t xml:space="preserve">порівняти показники функції зовнішнього ди хання (ФЗД) та дифузійної здатності легень за монооксидом вуг лецю (ДЗЛМВ) у пацієнтів із легеневою артеріальною гіпертензією  </w:t>
      </w:r>
      <w:r>
        <w:rPr>
          <w:i/>
          <w:color w:val="231F20"/>
          <w:sz w:val="19"/>
          <w:szCs w:val="19"/>
        </w:rPr>
        <w:t xml:space="preserve">(ЛАГ), асоційованою із системними захворюваннями сполучної тка нини (СЗСТ), з іншими формами легеневої гіпертензії (ЛГ). </w:t>
      </w:r>
      <w:r>
        <w:rPr>
          <w:b/>
          <w:i/>
          <w:color w:val="231F20"/>
          <w:sz w:val="19"/>
          <w:szCs w:val="19"/>
        </w:rPr>
        <w:t xml:space="preserve">Матері али і методи. </w:t>
      </w:r>
      <w:r>
        <w:rPr>
          <w:i/>
          <w:color w:val="231F20"/>
          <w:sz w:val="19"/>
          <w:szCs w:val="19"/>
        </w:rPr>
        <w:t xml:space="preserve">Залучено 60 пацієнтів 4 статистично зіставних груп:  15 пацієнтів з ідіопатичною ЛАГ, 15 — з ЛАГ, асоційованою із </w:t>
      </w:r>
      <w:r>
        <w:rPr>
          <w:i/>
          <w:color w:val="231F20"/>
          <w:sz w:val="19"/>
          <w:szCs w:val="19"/>
        </w:rPr>
        <w:t>вродже ною вадою серця (ЛАГ-ВВС), 15 — із хронічною тромбоемболічною  ЛГ (ХТЕЛГ), 15 — з ЛАГ-СЗСТ. Оцінювали ФЗД (життєва ємність ле гень (ЖЄЛ), форсована життєва ємність легень (ФЖЄЛ), об’єм фор сованого видиху за 1 с (ОФВ</w:t>
      </w:r>
      <w:r>
        <w:rPr>
          <w:i/>
          <w:color w:val="231F20"/>
          <w:sz w:val="18"/>
          <w:szCs w:val="18"/>
          <w:vertAlign w:val="subscript"/>
        </w:rPr>
        <w:t>1</w:t>
      </w:r>
      <w:r>
        <w:rPr>
          <w:i/>
          <w:color w:val="231F20"/>
          <w:sz w:val="19"/>
          <w:szCs w:val="19"/>
        </w:rPr>
        <w:t xml:space="preserve">)), </w:t>
      </w:r>
      <w:r>
        <w:rPr>
          <w:i/>
          <w:color w:val="231F20"/>
          <w:sz w:val="19"/>
          <w:szCs w:val="19"/>
        </w:rPr>
        <w:lastRenderedPageBreak/>
        <w:t>ДЗЛМВ і загальну ємність лег</w:t>
      </w:r>
      <w:r>
        <w:rPr>
          <w:i/>
          <w:color w:val="231F20"/>
          <w:sz w:val="19"/>
          <w:szCs w:val="19"/>
        </w:rPr>
        <w:t xml:space="preserve">ень  (ЗЄЛ), проводили обстеження згідно зі стандартами діагностики ЛГ.  </w:t>
      </w:r>
      <w:r>
        <w:rPr>
          <w:b/>
          <w:i/>
          <w:color w:val="231F20"/>
          <w:sz w:val="19"/>
          <w:szCs w:val="19"/>
        </w:rPr>
        <w:t xml:space="preserve">Результати. </w:t>
      </w:r>
      <w:r>
        <w:rPr>
          <w:i/>
          <w:color w:val="231F20"/>
          <w:sz w:val="19"/>
          <w:szCs w:val="19"/>
        </w:rPr>
        <w:t>Найбільше статистично значуще зниження показни ків ФЗД зафіксовано в групі пацієнтів із ЛАГ-ВВС, ДЗЛМВ — із ЛАГ СЗСТ. Виявлено незалежні достовірні кореляції — між ЖЄЛ (р=0,037),  ОФВ</w:t>
      </w:r>
      <w:r>
        <w:rPr>
          <w:i/>
          <w:color w:val="231F20"/>
          <w:sz w:val="18"/>
          <w:szCs w:val="18"/>
          <w:vertAlign w:val="subscript"/>
        </w:rPr>
        <w:t>1</w:t>
      </w:r>
      <w:r>
        <w:rPr>
          <w:i/>
          <w:color w:val="231F20"/>
          <w:sz w:val="11"/>
          <w:szCs w:val="11"/>
        </w:rPr>
        <w:t xml:space="preserve"> </w:t>
      </w:r>
      <w:r>
        <w:rPr>
          <w:i/>
          <w:color w:val="231F20"/>
          <w:sz w:val="19"/>
          <w:szCs w:val="19"/>
        </w:rPr>
        <w:t>(р=0,027) та наявністю ВВС; між ФЖЄЛ та індексом правого  передсердя (p</w:t>
      </w:r>
      <w:r>
        <w:rPr>
          <w:i/>
          <w:color w:val="231F20"/>
          <w:sz w:val="19"/>
          <w:szCs w:val="19"/>
        </w:rPr>
        <w:t>=0,009); між ДЗЛМВ та дистанцією, пройденою під час  6-хвилинного тесту (р=0,009), середнім тиском у легеневій артерії  (р=0,040), середнім тиском у правому шлуночку (р=0,002), наявніс тю системного склерозу (р&lt;0,001); між ЗЄЛ та індексом правого пе редсер</w:t>
      </w:r>
      <w:r>
        <w:rPr>
          <w:i/>
          <w:color w:val="231F20"/>
          <w:sz w:val="19"/>
          <w:szCs w:val="19"/>
        </w:rPr>
        <w:t xml:space="preserve">дя (р=0,003), наявністю системного склерозу (р=0,006). </w:t>
      </w:r>
      <w:r>
        <w:rPr>
          <w:b/>
          <w:i/>
          <w:color w:val="231F20"/>
          <w:sz w:val="19"/>
          <w:szCs w:val="19"/>
        </w:rPr>
        <w:t xml:space="preserve">Ви сновки. </w:t>
      </w:r>
      <w:r>
        <w:rPr>
          <w:i/>
          <w:color w:val="231F20"/>
          <w:sz w:val="19"/>
          <w:szCs w:val="19"/>
        </w:rPr>
        <w:t>Значне зниження ДЗЛМВ та ЗЄЛ у пацієнтів із СЗСТ на фоні  майже нормальних показників ФЗД підтвердило необхідність їх ви значення у всіх хворих з ЛАГ-СЗСТ, окрім стандартних показників  спір</w:t>
      </w:r>
      <w:r>
        <w:rPr>
          <w:i/>
          <w:color w:val="231F20"/>
          <w:sz w:val="19"/>
          <w:szCs w:val="19"/>
        </w:rPr>
        <w:t xml:space="preserve">ометрії. ДЗЛМВ та ЗЄЛ достовірно асоціювалися із функціо нальним станом пацієнтів та порушенням гемодинаміки. </w:t>
      </w:r>
    </w:p>
    <w:p w:rsidR="001F332D" w:rsidRDefault="006E68E8">
      <w:pPr>
        <w:widowControl w:val="0"/>
        <w:pBdr>
          <w:top w:val="nil"/>
          <w:left w:val="nil"/>
          <w:bottom w:val="nil"/>
          <w:right w:val="nil"/>
          <w:between w:val="nil"/>
        </w:pBdr>
        <w:spacing w:before="829" w:line="246" w:lineRule="auto"/>
        <w:ind w:right="123" w:firstLine="285"/>
        <w:jc w:val="both"/>
        <w:rPr>
          <w:color w:val="231F20"/>
          <w:sz w:val="19"/>
          <w:szCs w:val="19"/>
        </w:rPr>
      </w:pPr>
      <w:r>
        <w:rPr>
          <w:color w:val="231F20"/>
          <w:sz w:val="19"/>
          <w:szCs w:val="19"/>
        </w:rPr>
        <w:t>Легенева гіпертензія (ЛГ)— це стан, який харак теризується підвищенням середнього тиску в ле геневій артерії більше 20 мм рт.ст. ЛГ може вини кат</w:t>
      </w:r>
      <w:r>
        <w:rPr>
          <w:color w:val="231F20"/>
          <w:sz w:val="19"/>
          <w:szCs w:val="19"/>
        </w:rPr>
        <w:t xml:space="preserve">и як під впливом інших хвороб (наприклад за хворювання лівих відділів серця, легень тощо), так  </w:t>
      </w:r>
    </w:p>
    <w:p w:rsidR="001F332D" w:rsidRDefault="006E68E8">
      <w:pPr>
        <w:widowControl w:val="0"/>
        <w:pBdr>
          <w:top w:val="nil"/>
          <w:left w:val="nil"/>
          <w:bottom w:val="nil"/>
          <w:right w:val="nil"/>
          <w:between w:val="nil"/>
        </w:pBdr>
        <w:spacing w:before="7" w:line="246" w:lineRule="auto"/>
        <w:ind w:right="123" w:firstLine="13"/>
        <w:jc w:val="both"/>
        <w:rPr>
          <w:color w:val="231F20"/>
          <w:sz w:val="19"/>
          <w:szCs w:val="19"/>
        </w:rPr>
      </w:pPr>
      <w:r>
        <w:rPr>
          <w:color w:val="231F20"/>
          <w:sz w:val="19"/>
          <w:szCs w:val="19"/>
        </w:rPr>
        <w:t xml:space="preserve">і формуватися як окрема патологія, що характери зується первинним розвитком ремоделювання (гі пертрофія інтими та медії, плексиформне пошко дження, мікротромбоз) легеневих артерій малого  </w:t>
      </w:r>
    </w:p>
    <w:p w:rsidR="001F332D" w:rsidRDefault="006E68E8">
      <w:pPr>
        <w:widowControl w:val="0"/>
        <w:pBdr>
          <w:top w:val="nil"/>
          <w:left w:val="nil"/>
          <w:bottom w:val="nil"/>
          <w:right w:val="nil"/>
          <w:between w:val="nil"/>
        </w:pBdr>
        <w:spacing w:before="7" w:line="246" w:lineRule="auto"/>
        <w:ind w:left="6" w:right="123" w:firstLine="7"/>
        <w:rPr>
          <w:color w:val="231F20"/>
          <w:sz w:val="19"/>
          <w:szCs w:val="19"/>
        </w:rPr>
      </w:pPr>
      <w:r>
        <w:rPr>
          <w:color w:val="231F20"/>
          <w:sz w:val="19"/>
          <w:szCs w:val="19"/>
        </w:rPr>
        <w:t>калібру. Тригерами цього ремоделювання можуть  бути інші хвороби (н</w:t>
      </w:r>
      <w:r>
        <w:rPr>
          <w:color w:val="231F20"/>
          <w:sz w:val="19"/>
          <w:szCs w:val="19"/>
        </w:rPr>
        <w:t xml:space="preserve">априклад вроджені вади сер ця (ВВС), захворювання печінки тощо), але пато генез однаковий незалежно від етіології, що до зволяє об’єднувати ці ЛГ у групу легеневої артері альної гіпертензії (ЛАГ), що належить до рідкісних  </w:t>
      </w:r>
    </w:p>
    <w:p w:rsidR="001F332D" w:rsidRDefault="006E68E8">
      <w:pPr>
        <w:widowControl w:val="0"/>
        <w:pBdr>
          <w:top w:val="nil"/>
          <w:left w:val="nil"/>
          <w:bottom w:val="nil"/>
          <w:right w:val="nil"/>
          <w:between w:val="nil"/>
        </w:pBdr>
        <w:spacing w:line="246" w:lineRule="auto"/>
        <w:ind w:left="118" w:right="8" w:firstLine="3"/>
        <w:rPr>
          <w:color w:val="231F20"/>
          <w:sz w:val="19"/>
          <w:szCs w:val="19"/>
        </w:rPr>
      </w:pPr>
      <w:r>
        <w:rPr>
          <w:color w:val="231F20"/>
          <w:sz w:val="19"/>
          <w:szCs w:val="19"/>
        </w:rPr>
        <w:t xml:space="preserve">захворювань, прогресування яких </w:t>
      </w:r>
      <w:r>
        <w:rPr>
          <w:color w:val="231F20"/>
          <w:sz w:val="19"/>
          <w:szCs w:val="19"/>
        </w:rPr>
        <w:t xml:space="preserve">супроводжується  високою смертністю, значними порушеннями функ ціонального стану пацієнтів та інвалідизацією в пра цездатному віці. Без відповідного лікування серед ня тривалість життя пацієнтів із ЛАГ може станови ти лише 2,8 року [1]. </w:t>
      </w:r>
    </w:p>
    <w:p w:rsidR="001F332D" w:rsidRDefault="006E68E8">
      <w:pPr>
        <w:widowControl w:val="0"/>
        <w:pBdr>
          <w:top w:val="nil"/>
          <w:left w:val="nil"/>
          <w:bottom w:val="nil"/>
          <w:right w:val="nil"/>
          <w:between w:val="nil"/>
        </w:pBdr>
        <w:spacing w:before="7" w:line="246" w:lineRule="auto"/>
        <w:ind w:left="118" w:right="8"/>
        <w:jc w:val="right"/>
        <w:rPr>
          <w:color w:val="231F20"/>
          <w:sz w:val="19"/>
          <w:szCs w:val="19"/>
        </w:rPr>
        <w:sectPr w:rsidR="001F332D">
          <w:pgSz w:w="11320" w:h="16040"/>
          <w:pgMar w:top="494" w:right="672" w:bottom="587" w:left="1123" w:header="0" w:footer="720" w:gutter="0"/>
          <w:pgNumType w:start="1"/>
          <w:cols w:num="2" w:space="720" w:equalWidth="0">
            <w:col w:w="4780" w:space="0"/>
            <w:col w:w="4780" w:space="0"/>
          </w:cols>
        </w:sectPr>
      </w:pPr>
      <w:r>
        <w:rPr>
          <w:color w:val="231F20"/>
          <w:sz w:val="19"/>
          <w:szCs w:val="19"/>
        </w:rPr>
        <w:t>Системні захворювання сполучної тканини  (СЗСТ) характеризуються ураженням багатьох ор ганів і систем, а особливо легень та судин. Одним  із найбільш серйозних ускладнень СЗСТ є розви ток ЛГ. Серед усіх СЗСТ найбільша частка (8–12%)  ЛГ виявляється при сис</w:t>
      </w:r>
      <w:r>
        <w:rPr>
          <w:color w:val="231F20"/>
          <w:sz w:val="19"/>
          <w:szCs w:val="19"/>
        </w:rPr>
        <w:t xml:space="preserve">темному склерозі, що ста новить майже 75% від усіх випадків ЛГ, зумовленої  СЗСТ. Крім того, ЛГ може бути виявлена у 1–5% па цієнтів із системним червоним вовчаком, у близь </w:t>
      </w:r>
    </w:p>
    <w:p w:rsidR="001F332D" w:rsidRDefault="006E68E8">
      <w:pPr>
        <w:widowControl w:val="0"/>
        <w:pBdr>
          <w:top w:val="nil"/>
          <w:left w:val="nil"/>
          <w:bottom w:val="nil"/>
          <w:right w:val="nil"/>
          <w:between w:val="nil"/>
        </w:pBdr>
        <w:spacing w:before="155" w:line="240" w:lineRule="auto"/>
        <w:ind w:right="266"/>
        <w:jc w:val="right"/>
        <w:rPr>
          <w:color w:val="FFFFFF"/>
          <w:sz w:val="24"/>
          <w:szCs w:val="24"/>
        </w:rPr>
        <w:sectPr w:rsidR="001F332D">
          <w:type w:val="continuous"/>
          <w:pgSz w:w="11320" w:h="16040"/>
          <w:pgMar w:top="494" w:right="689" w:bottom="587" w:left="733" w:header="0" w:footer="720" w:gutter="0"/>
          <w:cols w:space="720" w:equalWidth="0">
            <w:col w:w="9897" w:space="0"/>
          </w:cols>
        </w:sectPr>
      </w:pPr>
      <w:r>
        <w:rPr>
          <w:color w:val="485E88"/>
          <w:sz w:val="26"/>
          <w:szCs w:val="26"/>
          <w:vertAlign w:val="superscript"/>
        </w:rPr>
        <w:lastRenderedPageBreak/>
        <w:t xml:space="preserve">УКРАЇНСЬКИЙ РЕВМАТОЛОГІЧНИЙ ЖУРНАЛ • № 1 (99) • 2025 </w:t>
      </w:r>
      <w:r>
        <w:rPr>
          <w:color w:val="FFFFFF"/>
          <w:sz w:val="24"/>
          <w:szCs w:val="24"/>
        </w:rPr>
        <w:t xml:space="preserve">1 </w:t>
      </w:r>
    </w:p>
    <w:p w:rsidR="001F332D" w:rsidRDefault="006E68E8">
      <w:pPr>
        <w:widowControl w:val="0"/>
        <w:pBdr>
          <w:top w:val="nil"/>
          <w:left w:val="nil"/>
          <w:bottom w:val="nil"/>
          <w:right w:val="nil"/>
          <w:between w:val="nil"/>
        </w:pBdr>
        <w:spacing w:line="240" w:lineRule="auto"/>
        <w:ind w:left="21"/>
        <w:rPr>
          <w:color w:val="485E88"/>
          <w:sz w:val="24"/>
          <w:szCs w:val="24"/>
        </w:rPr>
      </w:pPr>
      <w:r>
        <w:rPr>
          <w:color w:val="485E88"/>
          <w:sz w:val="24"/>
          <w:szCs w:val="24"/>
        </w:rPr>
        <w:lastRenderedPageBreak/>
        <w:t>ВЛАСНІ СПОСТЕРЕЖЕННЯ</w:t>
      </w:r>
    </w:p>
    <w:p w:rsidR="001F332D" w:rsidRDefault="006E68E8">
      <w:pPr>
        <w:widowControl w:val="0"/>
        <w:pBdr>
          <w:top w:val="nil"/>
          <w:left w:val="nil"/>
          <w:bottom w:val="nil"/>
          <w:right w:val="nil"/>
          <w:between w:val="nil"/>
        </w:pBdr>
        <w:spacing w:before="75" w:line="244" w:lineRule="auto"/>
        <w:ind w:left="6" w:right="120" w:firstLine="11"/>
        <w:rPr>
          <w:color w:val="231F20"/>
          <w:sz w:val="19"/>
          <w:szCs w:val="19"/>
        </w:rPr>
      </w:pPr>
      <w:r>
        <w:rPr>
          <w:color w:val="231F20"/>
          <w:sz w:val="19"/>
          <w:szCs w:val="19"/>
        </w:rPr>
        <w:t xml:space="preserve">ко 3–4% — зі змішаним захворюванням сполучної  тканини, вкрай рідко — при первинному синдромі  Шегрена, ідіопатичних запальних міопатіях, ревма тоїдному артриті [2]. </w:t>
      </w:r>
    </w:p>
    <w:p w:rsidR="001F332D" w:rsidRDefault="006E68E8">
      <w:pPr>
        <w:widowControl w:val="0"/>
        <w:pBdr>
          <w:top w:val="nil"/>
          <w:left w:val="nil"/>
          <w:bottom w:val="nil"/>
          <w:right w:val="nil"/>
          <w:between w:val="nil"/>
        </w:pBdr>
        <w:spacing w:before="7" w:line="244" w:lineRule="auto"/>
        <w:ind w:left="3" w:right="117" w:firstLine="285"/>
        <w:rPr>
          <w:color w:val="231F20"/>
          <w:sz w:val="19"/>
          <w:szCs w:val="19"/>
        </w:rPr>
      </w:pPr>
      <w:r>
        <w:rPr>
          <w:rFonts w:ascii="Arial Unicode MS" w:eastAsia="Arial Unicode MS" w:hAnsi="Arial Unicode MS" w:cs="Arial Unicode MS"/>
          <w:color w:val="231F20"/>
          <w:sz w:val="19"/>
          <w:szCs w:val="19"/>
        </w:rPr>
        <w:t>Усі ЛГ, в тому числі при СЗСТ, поділяються  на 5 великих груп залежно від їхнього типу (пре або посткапілярна) та етіопатогенезу [1]. За дани ми катетеризації правих відділів серця (КПС), ЛАГ  (1-</w:t>
      </w:r>
      <w:r>
        <w:rPr>
          <w:rFonts w:ascii="Arial Unicode MS" w:eastAsia="Arial Unicode MS" w:hAnsi="Arial Unicode MS" w:cs="Arial Unicode MS"/>
          <w:color w:val="231F20"/>
          <w:sz w:val="19"/>
          <w:szCs w:val="19"/>
        </w:rPr>
        <w:lastRenderedPageBreak/>
        <w:t xml:space="preserve">ша група) та хронічна тромбоемболічна легене ва гіпертензія </w:t>
      </w:r>
      <w:r>
        <w:rPr>
          <w:rFonts w:ascii="Arial Unicode MS" w:eastAsia="Arial Unicode MS" w:hAnsi="Arial Unicode MS" w:cs="Arial Unicode MS"/>
          <w:color w:val="231F20"/>
          <w:sz w:val="19"/>
          <w:szCs w:val="19"/>
        </w:rPr>
        <w:t>(ХТЕЛГ) (4-та група) характеризу ються наявністю прекапілярної ЛГ (тиск заклиню вання в легеневій артерії (ТЗЛА) — ≤15 мм рт. ст.)  та опором легеневих судин (ОЛС) — &gt;2 одиниць  Вуда (од. Вуда) [1]. ЛГ, асоційована із лівими від ділами серця (посткапілярна</w:t>
      </w:r>
      <w:r>
        <w:rPr>
          <w:rFonts w:ascii="Arial Unicode MS" w:eastAsia="Arial Unicode MS" w:hAnsi="Arial Unicode MS" w:cs="Arial Unicode MS"/>
          <w:color w:val="231F20"/>
          <w:sz w:val="19"/>
          <w:szCs w:val="19"/>
        </w:rPr>
        <w:t xml:space="preserve">), характеризується  підвищеним ТЗЛА (&gt;15 мм рт ст.). При уражен ні легень, як правило, розвивається прекапіляр на ЛГ </w:t>
      </w:r>
      <w:r>
        <w:rPr>
          <w:rFonts w:ascii="Arial Unicode MS" w:eastAsia="Arial Unicode MS" w:hAnsi="Arial Unicode MS" w:cs="Arial Unicode MS"/>
          <w:color w:val="231F20"/>
          <w:sz w:val="19"/>
          <w:szCs w:val="19"/>
        </w:rPr>
        <w:lastRenderedPageBreak/>
        <w:t xml:space="preserve">та виявляються значні структурні і функці ональні зміни паренхіми та/або бронхів, що відо бражається при візуалізуючих обстеженнях та/або </w:t>
      </w:r>
      <w:r>
        <w:rPr>
          <w:rFonts w:ascii="Arial Unicode MS" w:eastAsia="Arial Unicode MS" w:hAnsi="Arial Unicode MS" w:cs="Arial Unicode MS"/>
          <w:color w:val="231F20"/>
          <w:sz w:val="19"/>
          <w:szCs w:val="19"/>
        </w:rPr>
        <w:t xml:space="preserve"> оцінці показників дихання. Найчастіше при СЗСТ  розвивається ЛАГ, але можуть формуватися й інші  форми (</w:t>
      </w:r>
      <w:r>
        <w:rPr>
          <w:color w:val="485E88"/>
          <w:sz w:val="19"/>
          <w:szCs w:val="19"/>
        </w:rPr>
        <w:t>рисунок</w:t>
      </w:r>
      <w:r>
        <w:rPr>
          <w:color w:val="231F20"/>
          <w:sz w:val="19"/>
          <w:szCs w:val="19"/>
        </w:rPr>
        <w:t xml:space="preserve">) [3]. </w:t>
      </w:r>
    </w:p>
    <w:p w:rsidR="001F332D" w:rsidRDefault="006E68E8">
      <w:pPr>
        <w:widowControl w:val="0"/>
        <w:pBdr>
          <w:top w:val="nil"/>
          <w:left w:val="nil"/>
          <w:bottom w:val="nil"/>
          <w:right w:val="nil"/>
          <w:between w:val="nil"/>
        </w:pBdr>
        <w:spacing w:before="194" w:line="202" w:lineRule="auto"/>
        <w:ind w:left="3" w:right="164" w:hanging="2"/>
        <w:jc w:val="both"/>
        <w:rPr>
          <w:color w:val="231F20"/>
          <w:sz w:val="17"/>
          <w:szCs w:val="17"/>
        </w:rPr>
      </w:pPr>
      <w:r>
        <w:rPr>
          <w:noProof/>
          <w:color w:val="231F20"/>
          <w:sz w:val="19"/>
          <w:szCs w:val="19"/>
        </w:rPr>
        <w:drawing>
          <wp:inline distT="19050" distB="19050" distL="19050" distR="19050">
            <wp:extent cx="2916000" cy="2428285"/>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4"/>
                    <a:srcRect/>
                    <a:stretch>
                      <a:fillRect/>
                    </a:stretch>
                  </pic:blipFill>
                  <pic:spPr>
                    <a:xfrm>
                      <a:off x="0" y="0"/>
                      <a:ext cx="2916000" cy="2428285"/>
                    </a:xfrm>
                    <a:prstGeom prst="rect">
                      <a:avLst/>
                    </a:prstGeom>
                    <a:ln/>
                  </pic:spPr>
                </pic:pic>
              </a:graphicData>
            </a:graphic>
          </wp:inline>
        </w:drawing>
      </w:r>
      <w:r>
        <w:rPr>
          <w:b/>
          <w:color w:val="485E88"/>
          <w:sz w:val="17"/>
          <w:szCs w:val="17"/>
        </w:rPr>
        <w:t xml:space="preserve">Рисунок. </w:t>
      </w:r>
      <w:r>
        <w:rPr>
          <w:color w:val="000000"/>
          <w:sz w:val="17"/>
          <w:szCs w:val="17"/>
        </w:rPr>
        <w:t xml:space="preserve">Перехрест різних фенотипів ЛГ при системному склерозі. </w:t>
      </w:r>
      <w:r>
        <w:rPr>
          <w:color w:val="231F20"/>
          <w:sz w:val="17"/>
          <w:szCs w:val="17"/>
        </w:rPr>
        <w:t xml:space="preserve">Адаптовано з дослідження Almaaitah та ін. (2020). </w:t>
      </w:r>
    </w:p>
    <w:p w:rsidR="001F332D" w:rsidRDefault="006E68E8">
      <w:pPr>
        <w:widowControl w:val="0"/>
        <w:pBdr>
          <w:top w:val="nil"/>
          <w:left w:val="nil"/>
          <w:bottom w:val="nil"/>
          <w:right w:val="nil"/>
          <w:between w:val="nil"/>
        </w:pBdr>
        <w:spacing w:before="116" w:line="226" w:lineRule="auto"/>
        <w:ind w:left="6" w:right="124" w:firstLine="2"/>
        <w:rPr>
          <w:color w:val="231F20"/>
          <w:sz w:val="17"/>
          <w:szCs w:val="17"/>
        </w:rPr>
      </w:pPr>
      <w:r>
        <w:rPr>
          <w:i/>
          <w:color w:val="231F20"/>
          <w:sz w:val="17"/>
          <w:szCs w:val="17"/>
        </w:rPr>
        <w:t xml:space="preserve">Примітки: </w:t>
      </w:r>
      <w:r>
        <w:rPr>
          <w:color w:val="231F20"/>
          <w:sz w:val="17"/>
          <w:szCs w:val="17"/>
        </w:rPr>
        <w:t xml:space="preserve">ВОХЛ — венооклюзійна хвороба легень, ЛГ-ЗЛВ — легене ва гіпертензія, асоційована із захворюванням лівих відділів серця,  ЛГ-ЗЛ — легенева гіпертензія, асоційована із захворюванням легень. </w:t>
      </w:r>
    </w:p>
    <w:p w:rsidR="001F332D" w:rsidRDefault="006E68E8">
      <w:pPr>
        <w:widowControl w:val="0"/>
        <w:pBdr>
          <w:top w:val="nil"/>
          <w:left w:val="nil"/>
          <w:bottom w:val="nil"/>
          <w:right w:val="nil"/>
          <w:between w:val="nil"/>
        </w:pBdr>
        <w:spacing w:before="218" w:line="244" w:lineRule="auto"/>
        <w:ind w:right="118"/>
        <w:jc w:val="right"/>
        <w:rPr>
          <w:color w:val="231F20"/>
          <w:sz w:val="19"/>
          <w:szCs w:val="19"/>
        </w:rPr>
      </w:pPr>
      <w:r>
        <w:rPr>
          <w:color w:val="231F20"/>
          <w:sz w:val="19"/>
          <w:szCs w:val="19"/>
        </w:rPr>
        <w:t xml:space="preserve">Через ендотеліальну дисфункцію, запалення,  викликане аутоімунними </w:t>
      </w:r>
      <w:r>
        <w:rPr>
          <w:color w:val="231F20"/>
          <w:sz w:val="19"/>
          <w:szCs w:val="19"/>
        </w:rPr>
        <w:t xml:space="preserve">процесами, порушення  коагуляції при СЗСТ можуть розвиватись уражен ня легеневих артерій малого калібру або капілярів  та венул за вено-оклюзивним типом (1-ша група  ЛГ). При прогресуючому легеневому фіброзі фор мується ЛГ, асоційована із захворюванням ле </w:t>
      </w:r>
      <w:r>
        <w:rPr>
          <w:color w:val="231F20"/>
          <w:sz w:val="19"/>
          <w:szCs w:val="19"/>
        </w:rPr>
        <w:t xml:space="preserve">гень (3-тя група ЛГ). Якщо домінує ураження міо карда та коронарних артерій, може формуватися  ЛГ, асоційована із захворюванням лівих відділів  серця (2-га група ЛГ) [4]. Окрім того, у пацієнтів  із СЗСТ часто виявляється антифосфоліпідний  синдром [5–8], </w:t>
      </w:r>
      <w:r>
        <w:rPr>
          <w:color w:val="231F20"/>
          <w:sz w:val="19"/>
          <w:szCs w:val="19"/>
        </w:rPr>
        <w:t xml:space="preserve">що підвищує ризик виникнення  тромбоемболії легеневої артерії та формування  ХТЕЛГ (4-та група ЛГ). Слід зауважити, що вказані  </w:t>
      </w:r>
    </w:p>
    <w:p w:rsidR="001F332D" w:rsidRDefault="006E68E8">
      <w:pPr>
        <w:widowControl w:val="0"/>
        <w:pBdr>
          <w:top w:val="nil"/>
          <w:left w:val="nil"/>
          <w:bottom w:val="nil"/>
          <w:right w:val="nil"/>
          <w:between w:val="nil"/>
        </w:pBdr>
        <w:spacing w:before="355" w:line="241" w:lineRule="auto"/>
        <w:ind w:left="118" w:right="4" w:firstLine="8"/>
        <w:rPr>
          <w:color w:val="231F20"/>
          <w:sz w:val="19"/>
          <w:szCs w:val="19"/>
        </w:rPr>
      </w:pPr>
      <w:r>
        <w:rPr>
          <w:color w:val="231F20"/>
          <w:sz w:val="19"/>
          <w:szCs w:val="19"/>
        </w:rPr>
        <w:t>форми ЛГ можуть бути при СЗСТ окремими. Але  нерідко у пацієнтів можуть відмічати ознаки усіх  4 груп. Наприклад, пацієнт з пер</w:t>
      </w:r>
      <w:r>
        <w:rPr>
          <w:color w:val="231F20"/>
          <w:sz w:val="19"/>
          <w:szCs w:val="19"/>
        </w:rPr>
        <w:t xml:space="preserve">еважним уражен ням легень при системному склерозі може пере нести гострий коронарний синдром або тромбо емболію легеневих артерій. Усі пацієнти з ЛГ та  СЗСТ, а особливо такі, обов’язково мають обсте жуватися у </w:t>
      </w:r>
      <w:r>
        <w:rPr>
          <w:color w:val="231F20"/>
          <w:sz w:val="19"/>
          <w:szCs w:val="19"/>
        </w:rPr>
        <w:lastRenderedPageBreak/>
        <w:t>спеціалізованому відділенні для вста новлення</w:t>
      </w:r>
      <w:r>
        <w:rPr>
          <w:color w:val="231F20"/>
          <w:sz w:val="19"/>
          <w:szCs w:val="19"/>
        </w:rPr>
        <w:t xml:space="preserve"> домінуючої причини ЛГ, що дозволяє  правильно призначити лікування. Адже різні фор ми ЛГ-СЗСТ мають різні рекомендації щодо ліку вання [3–8]. Критерії для правильного визначен ня фенотипу ЛГ при системному склерозі пред ставлено в </w:t>
      </w:r>
      <w:r>
        <w:rPr>
          <w:color w:val="485E88"/>
          <w:sz w:val="19"/>
          <w:szCs w:val="19"/>
        </w:rPr>
        <w:t xml:space="preserve">табл. 1 </w:t>
      </w:r>
      <w:r>
        <w:rPr>
          <w:color w:val="231F20"/>
          <w:sz w:val="19"/>
          <w:szCs w:val="19"/>
        </w:rPr>
        <w:t xml:space="preserve">[3]. </w:t>
      </w:r>
    </w:p>
    <w:p w:rsidR="001F332D" w:rsidRDefault="006E68E8">
      <w:pPr>
        <w:widowControl w:val="0"/>
        <w:pBdr>
          <w:top w:val="nil"/>
          <w:left w:val="nil"/>
          <w:bottom w:val="nil"/>
          <w:right w:val="nil"/>
          <w:between w:val="nil"/>
        </w:pBdr>
        <w:spacing w:before="6" w:line="241" w:lineRule="auto"/>
        <w:ind w:left="125" w:right="3" w:firstLine="279"/>
        <w:jc w:val="both"/>
        <w:rPr>
          <w:color w:val="231F20"/>
          <w:sz w:val="19"/>
          <w:szCs w:val="19"/>
        </w:rPr>
      </w:pPr>
      <w:r>
        <w:rPr>
          <w:color w:val="231F20"/>
          <w:sz w:val="19"/>
          <w:szCs w:val="19"/>
        </w:rPr>
        <w:t>Так, до 3-ї групи ЛГ належить така, що роз вивається при поширеній формі інтерстиціаль ного ураження легень при системному склеро зі (</w:t>
      </w:r>
      <w:r>
        <w:rPr>
          <w:color w:val="485E88"/>
          <w:sz w:val="19"/>
          <w:szCs w:val="19"/>
        </w:rPr>
        <w:t>табл. 1</w:t>
      </w:r>
      <w:r>
        <w:rPr>
          <w:color w:val="231F20"/>
          <w:sz w:val="19"/>
          <w:szCs w:val="19"/>
        </w:rPr>
        <w:t xml:space="preserve">). При цьому виявляються &gt;20% фіброзу  </w:t>
      </w:r>
    </w:p>
    <w:p w:rsidR="001F332D" w:rsidRDefault="006E68E8">
      <w:pPr>
        <w:widowControl w:val="0"/>
        <w:pBdr>
          <w:top w:val="nil"/>
          <w:left w:val="nil"/>
          <w:bottom w:val="nil"/>
          <w:right w:val="nil"/>
          <w:between w:val="nil"/>
        </w:pBdr>
        <w:spacing w:before="6" w:line="241" w:lineRule="auto"/>
        <w:ind w:left="125" w:right="4" w:firstLine="7"/>
        <w:jc w:val="both"/>
        <w:rPr>
          <w:color w:val="231F20"/>
          <w:sz w:val="19"/>
          <w:szCs w:val="19"/>
        </w:rPr>
      </w:pPr>
      <w:r>
        <w:rPr>
          <w:color w:val="231F20"/>
          <w:sz w:val="19"/>
          <w:szCs w:val="19"/>
        </w:rPr>
        <w:t>при комп’ютерній томографії (КТ) високої розділь ної здатності або форсован</w:t>
      </w:r>
      <w:r>
        <w:rPr>
          <w:color w:val="231F20"/>
          <w:sz w:val="19"/>
          <w:szCs w:val="19"/>
        </w:rPr>
        <w:t xml:space="preserve">а життєва ємність ле гень (ФЖЄЛ) &lt;70% за даними оцінки функції зо внішнього дихання (ФЗД) при невизначених ре зультатах КТ. Такий фенотип ЛГ характеризується  </w:t>
      </w:r>
    </w:p>
    <w:p w:rsidR="001F332D" w:rsidRDefault="006E68E8">
      <w:pPr>
        <w:widowControl w:val="0"/>
        <w:pBdr>
          <w:top w:val="nil"/>
          <w:left w:val="nil"/>
          <w:bottom w:val="nil"/>
          <w:right w:val="nil"/>
          <w:between w:val="nil"/>
        </w:pBdr>
        <w:spacing w:before="6" w:line="241" w:lineRule="auto"/>
        <w:ind w:left="118" w:right="4" w:firstLine="14"/>
        <w:rPr>
          <w:color w:val="231F20"/>
          <w:sz w:val="19"/>
          <w:szCs w:val="19"/>
        </w:rPr>
      </w:pPr>
      <w:r>
        <w:rPr>
          <w:color w:val="231F20"/>
          <w:sz w:val="19"/>
          <w:szCs w:val="19"/>
        </w:rPr>
        <w:t>гіршою виживаністю (35 проти 56%, за результа тами метааналізу Lefèvre та співавторів [9]) порів</w:t>
      </w:r>
      <w:r>
        <w:rPr>
          <w:color w:val="231F20"/>
          <w:sz w:val="19"/>
          <w:szCs w:val="19"/>
        </w:rPr>
        <w:t xml:space="preserve"> няно з ЛАГ (1-ша група), потребує дорожчого та  більш специфічного лікування, яке може включа ти імуносупресивні препарати [10] та таргетовану  антифібротичну терапію [11]. Застосування пре паратів для лікування ЛАГ залишається дискута бельним питанням, а</w:t>
      </w:r>
      <w:r>
        <w:rPr>
          <w:color w:val="231F20"/>
          <w:sz w:val="19"/>
          <w:szCs w:val="19"/>
        </w:rPr>
        <w:t>дже переважно в рандомізо вані дослідження з оцінки ефективності специфіч ної терапії ЛАГ не включали пацієнтів зі значним  ураженням легень при СЗСТ. Є окремі спостере ження, які демонструють кращий прогноз на фоні  застосування препаратів для лікування Л</w:t>
      </w:r>
      <w:r>
        <w:rPr>
          <w:color w:val="231F20"/>
          <w:sz w:val="19"/>
          <w:szCs w:val="19"/>
        </w:rPr>
        <w:t xml:space="preserve">АГ [12],  але є й ті, що свідчать про відсутність ефекту [13]. </w:t>
      </w:r>
    </w:p>
    <w:p w:rsidR="001F332D" w:rsidRDefault="006E68E8">
      <w:pPr>
        <w:widowControl w:val="0"/>
        <w:pBdr>
          <w:top w:val="nil"/>
          <w:left w:val="nil"/>
          <w:bottom w:val="nil"/>
          <w:right w:val="nil"/>
          <w:between w:val="nil"/>
        </w:pBdr>
        <w:spacing w:before="6" w:line="241" w:lineRule="auto"/>
        <w:ind w:left="127" w:right="2" w:firstLine="291"/>
        <w:jc w:val="both"/>
        <w:rPr>
          <w:color w:val="231F20"/>
          <w:sz w:val="19"/>
          <w:szCs w:val="19"/>
        </w:rPr>
      </w:pPr>
      <w:r>
        <w:rPr>
          <w:color w:val="231F20"/>
          <w:sz w:val="19"/>
          <w:szCs w:val="19"/>
        </w:rPr>
        <w:t xml:space="preserve">Посткапілярна ЛГ (2-га група), як правило,  не потребує специфічного лікування ЛГ, а лише  прийому препаратів для симптомного лікування  серцевої недостатності, аритмій, ішемії міокар </w:t>
      </w:r>
    </w:p>
    <w:p w:rsidR="001F332D" w:rsidRDefault="006E68E8">
      <w:pPr>
        <w:widowControl w:val="0"/>
        <w:pBdr>
          <w:top w:val="nil"/>
          <w:left w:val="nil"/>
          <w:bottom w:val="nil"/>
          <w:right w:val="nil"/>
          <w:between w:val="nil"/>
        </w:pBdr>
        <w:spacing w:before="6" w:line="241" w:lineRule="auto"/>
        <w:ind w:left="118" w:right="4"/>
        <w:jc w:val="both"/>
        <w:rPr>
          <w:color w:val="231F20"/>
          <w:sz w:val="19"/>
          <w:szCs w:val="19"/>
        </w:rPr>
      </w:pPr>
      <w:r>
        <w:rPr>
          <w:color w:val="231F20"/>
          <w:sz w:val="19"/>
          <w:szCs w:val="19"/>
        </w:rPr>
        <w:t xml:space="preserve">да тощо. При СЗСТ може формуватися, як на слідок фіброзу міокарда, недостатність як сис толічної (серцева недостатність із помірно зни женою фракцією викиду — близько 2% пацієнтів  </w:t>
      </w:r>
    </w:p>
    <w:p w:rsidR="001F332D" w:rsidRDefault="006E68E8">
      <w:pPr>
        <w:widowControl w:val="0"/>
        <w:pBdr>
          <w:top w:val="nil"/>
          <w:left w:val="nil"/>
          <w:bottom w:val="nil"/>
          <w:right w:val="nil"/>
          <w:between w:val="nil"/>
        </w:pBdr>
        <w:spacing w:before="6" w:line="241" w:lineRule="auto"/>
        <w:ind w:left="132" w:right="4"/>
        <w:jc w:val="both"/>
        <w:rPr>
          <w:color w:val="231F20"/>
          <w:sz w:val="19"/>
          <w:szCs w:val="19"/>
        </w:rPr>
      </w:pPr>
      <w:r>
        <w:rPr>
          <w:color w:val="231F20"/>
          <w:sz w:val="19"/>
          <w:szCs w:val="19"/>
        </w:rPr>
        <w:t>із системним склерозом), так і діастолічної функ ції (серцева недостатніст</w:t>
      </w:r>
      <w:r>
        <w:rPr>
          <w:color w:val="231F20"/>
          <w:sz w:val="19"/>
          <w:szCs w:val="19"/>
        </w:rPr>
        <w:t xml:space="preserve">ь зі збереженою фрак цією викиду — близько 18% пацієнтів із систем ним склерозом) [5, 14]. Згідно з даними Bourji та  </w:t>
      </w:r>
    </w:p>
    <w:p w:rsidR="001F332D" w:rsidRDefault="006E68E8">
      <w:pPr>
        <w:widowControl w:val="0"/>
        <w:pBdr>
          <w:top w:val="nil"/>
          <w:left w:val="nil"/>
          <w:bottom w:val="nil"/>
          <w:right w:val="nil"/>
          <w:between w:val="nil"/>
        </w:pBdr>
        <w:spacing w:before="6" w:line="241" w:lineRule="auto"/>
        <w:ind w:left="125" w:right="3" w:firstLine="2"/>
        <w:rPr>
          <w:color w:val="231F20"/>
          <w:sz w:val="19"/>
          <w:szCs w:val="19"/>
        </w:rPr>
      </w:pPr>
      <w:r>
        <w:rPr>
          <w:color w:val="231F20"/>
          <w:sz w:val="19"/>
          <w:szCs w:val="19"/>
        </w:rPr>
        <w:t xml:space="preserve">співавторів [15], наявність діастолічної дисфунк ції лівих відділів серця у пацієнтів із системним  склерозом характеризується вдвічі вищим ри зиком смерті порівняно із пацієнтами з ЛАГ, які  при визначенні гемодинаміки не мають постка пілярної ЛГ. </w:t>
      </w:r>
    </w:p>
    <w:p w:rsidR="001F332D" w:rsidRDefault="006E68E8">
      <w:pPr>
        <w:widowControl w:val="0"/>
        <w:pBdr>
          <w:top w:val="nil"/>
          <w:left w:val="nil"/>
          <w:bottom w:val="nil"/>
          <w:right w:val="nil"/>
          <w:between w:val="nil"/>
        </w:pBdr>
        <w:spacing w:before="6" w:line="241" w:lineRule="auto"/>
        <w:ind w:left="121" w:right="3"/>
        <w:jc w:val="right"/>
        <w:rPr>
          <w:color w:val="231F20"/>
          <w:sz w:val="19"/>
          <w:szCs w:val="19"/>
        </w:rPr>
        <w:sectPr w:rsidR="001F332D">
          <w:type w:val="continuous"/>
          <w:pgSz w:w="11320" w:h="16040"/>
          <w:pgMar w:top="494" w:right="1068" w:bottom="587" w:left="733" w:header="0" w:footer="720" w:gutter="0"/>
          <w:cols w:num="2" w:space="720" w:equalWidth="0">
            <w:col w:w="4760" w:space="0"/>
            <w:col w:w="4760" w:space="0"/>
          </w:cols>
        </w:sectPr>
      </w:pPr>
      <w:r>
        <w:rPr>
          <w:color w:val="231F20"/>
          <w:sz w:val="19"/>
          <w:szCs w:val="19"/>
        </w:rPr>
        <w:t xml:space="preserve">Венооклюзійна хвороба легень також може  сформуватися у пацієнтів із системним скле розом. Її характерними проявами є збільшення  лімфатичних вузлів, центрилобулярні помутнін ня за типом матового скла і септальні лінії на КТ </w:t>
      </w:r>
      <w:r>
        <w:rPr>
          <w:color w:val="231F20"/>
          <w:sz w:val="19"/>
          <w:szCs w:val="19"/>
        </w:rPr>
        <w:t xml:space="preserve"> легень, зниження дифузійної здатності легень  за монооксидом вуглецю (ДЗЛМВ) &lt;50% та тяжка  </w:t>
      </w:r>
    </w:p>
    <w:p w:rsidR="001F332D" w:rsidRDefault="006E68E8">
      <w:pPr>
        <w:widowControl w:val="0"/>
        <w:pBdr>
          <w:top w:val="nil"/>
          <w:left w:val="nil"/>
          <w:bottom w:val="nil"/>
          <w:right w:val="nil"/>
          <w:between w:val="nil"/>
        </w:pBdr>
        <w:spacing w:before="159" w:line="240" w:lineRule="auto"/>
        <w:ind w:left="214"/>
        <w:rPr>
          <w:color w:val="485E88"/>
          <w:sz w:val="16"/>
          <w:szCs w:val="16"/>
        </w:rPr>
      </w:pPr>
      <w:r>
        <w:rPr>
          <w:color w:val="FFFFFF"/>
          <w:sz w:val="24"/>
          <w:szCs w:val="24"/>
        </w:rPr>
        <w:lastRenderedPageBreak/>
        <w:t xml:space="preserve">2 </w:t>
      </w:r>
      <w:r>
        <w:rPr>
          <w:color w:val="485E88"/>
          <w:sz w:val="16"/>
          <w:szCs w:val="16"/>
        </w:rPr>
        <w:t xml:space="preserve">УКРАЇНСЬКИЙ РЕВМАТОЛОГІЧНИЙ ЖУРНАЛ • № 1 (99) • 2025 </w:t>
      </w:r>
    </w:p>
    <w:p w:rsidR="001F332D" w:rsidRDefault="006E68E8">
      <w:pPr>
        <w:widowControl w:val="0"/>
        <w:pBdr>
          <w:top w:val="nil"/>
          <w:left w:val="nil"/>
          <w:bottom w:val="nil"/>
          <w:right w:val="nil"/>
          <w:between w:val="nil"/>
        </w:pBdr>
        <w:spacing w:line="240" w:lineRule="auto"/>
        <w:ind w:right="49"/>
        <w:jc w:val="right"/>
        <w:rPr>
          <w:color w:val="485E88"/>
          <w:sz w:val="24"/>
          <w:szCs w:val="24"/>
        </w:rPr>
      </w:pPr>
      <w:r>
        <w:rPr>
          <w:color w:val="485E88"/>
          <w:sz w:val="24"/>
          <w:szCs w:val="24"/>
        </w:rPr>
        <w:t>ВЛАСНІ СПОСТЕРЕЖЕННЯ</w:t>
      </w:r>
    </w:p>
    <w:p w:rsidR="001F332D" w:rsidRDefault="006E68E8">
      <w:pPr>
        <w:widowControl w:val="0"/>
        <w:pBdr>
          <w:top w:val="nil"/>
          <w:left w:val="nil"/>
          <w:bottom w:val="nil"/>
          <w:right w:val="nil"/>
          <w:between w:val="nil"/>
        </w:pBdr>
        <w:spacing w:before="64" w:line="240" w:lineRule="auto"/>
        <w:ind w:right="58"/>
        <w:jc w:val="right"/>
        <w:rPr>
          <w:b/>
          <w:color w:val="485E88"/>
          <w:sz w:val="16"/>
          <w:szCs w:val="16"/>
        </w:rPr>
      </w:pPr>
      <w:r>
        <w:rPr>
          <w:b/>
          <w:color w:val="485E88"/>
          <w:sz w:val="16"/>
          <w:szCs w:val="16"/>
        </w:rPr>
        <w:t xml:space="preserve">Таблиця 1 </w:t>
      </w:r>
    </w:p>
    <w:p w:rsidR="001F332D" w:rsidRDefault="006E68E8">
      <w:pPr>
        <w:widowControl w:val="0"/>
        <w:pBdr>
          <w:top w:val="nil"/>
          <w:left w:val="nil"/>
          <w:bottom w:val="nil"/>
          <w:right w:val="nil"/>
          <w:between w:val="nil"/>
        </w:pBdr>
        <w:spacing w:line="309" w:lineRule="auto"/>
        <w:ind w:left="1732" w:right="700" w:hanging="669"/>
        <w:rPr>
          <w:b/>
          <w:color w:val="231F20"/>
          <w:sz w:val="16"/>
          <w:szCs w:val="16"/>
        </w:rPr>
        <w:sectPr w:rsidR="001F332D">
          <w:type w:val="continuous"/>
          <w:pgSz w:w="11320" w:h="16040"/>
          <w:pgMar w:top="494" w:right="689" w:bottom="587" w:left="733" w:header="0" w:footer="720" w:gutter="0"/>
          <w:cols w:space="720" w:equalWidth="0">
            <w:col w:w="9897" w:space="0"/>
          </w:cols>
        </w:sectPr>
      </w:pPr>
      <w:r>
        <w:rPr>
          <w:b/>
          <w:color w:val="485E88"/>
          <w:sz w:val="16"/>
          <w:szCs w:val="16"/>
        </w:rPr>
        <w:t xml:space="preserve"> </w:t>
      </w:r>
      <w:r>
        <w:rPr>
          <w:b/>
          <w:color w:val="231F20"/>
          <w:sz w:val="16"/>
          <w:szCs w:val="16"/>
        </w:rPr>
        <w:t xml:space="preserve">Критерії для диференціації різних форм ЛГ при системному склерозі </w:t>
      </w:r>
      <w:r>
        <w:rPr>
          <w:color w:val="231F20"/>
          <w:sz w:val="16"/>
          <w:szCs w:val="16"/>
        </w:rPr>
        <w:t xml:space="preserve">(адаптовано з дослідження Almaaitah та ін., 2020) </w:t>
      </w:r>
      <w:r>
        <w:rPr>
          <w:b/>
          <w:color w:val="231F20"/>
          <w:sz w:val="16"/>
          <w:szCs w:val="16"/>
        </w:rPr>
        <w:t xml:space="preserve">Поширеність  </w:t>
      </w:r>
    </w:p>
    <w:p w:rsidR="001F332D" w:rsidRDefault="006E68E8">
      <w:pPr>
        <w:widowControl w:val="0"/>
        <w:pBdr>
          <w:top w:val="nil"/>
          <w:left w:val="nil"/>
          <w:bottom w:val="nil"/>
          <w:right w:val="nil"/>
          <w:between w:val="nil"/>
        </w:pBdr>
        <w:spacing w:before="26" w:line="240" w:lineRule="auto"/>
        <w:rPr>
          <w:b/>
          <w:color w:val="231F20"/>
          <w:sz w:val="16"/>
          <w:szCs w:val="16"/>
        </w:rPr>
      </w:pPr>
      <w:r>
        <w:rPr>
          <w:b/>
          <w:color w:val="231F20"/>
          <w:sz w:val="16"/>
          <w:szCs w:val="16"/>
        </w:rPr>
        <w:lastRenderedPageBreak/>
        <w:t xml:space="preserve">Тип ЛГ </w:t>
      </w:r>
    </w:p>
    <w:p w:rsidR="001F332D" w:rsidRDefault="006E68E8">
      <w:pPr>
        <w:widowControl w:val="0"/>
        <w:pBdr>
          <w:top w:val="nil"/>
          <w:left w:val="nil"/>
          <w:bottom w:val="nil"/>
          <w:right w:val="nil"/>
          <w:between w:val="nil"/>
        </w:pBdr>
        <w:spacing w:line="225" w:lineRule="auto"/>
        <w:rPr>
          <w:b/>
          <w:color w:val="231F20"/>
          <w:sz w:val="16"/>
          <w:szCs w:val="16"/>
        </w:rPr>
      </w:pPr>
      <w:r>
        <w:rPr>
          <w:b/>
          <w:color w:val="231F20"/>
          <w:sz w:val="16"/>
          <w:szCs w:val="16"/>
        </w:rPr>
        <w:t xml:space="preserve">при систем ному скле розі </w:t>
      </w:r>
    </w:p>
    <w:p w:rsidR="001F332D" w:rsidRDefault="006E68E8">
      <w:pPr>
        <w:widowControl w:val="0"/>
        <w:pBdr>
          <w:top w:val="nil"/>
          <w:left w:val="nil"/>
          <w:bottom w:val="nil"/>
          <w:right w:val="nil"/>
          <w:between w:val="nil"/>
        </w:pBdr>
        <w:spacing w:line="240" w:lineRule="auto"/>
        <w:rPr>
          <w:b/>
          <w:color w:val="231F20"/>
          <w:sz w:val="16"/>
          <w:szCs w:val="16"/>
        </w:rPr>
        <w:sectPr w:rsidR="001F332D">
          <w:type w:val="continuous"/>
          <w:pgSz w:w="11320" w:h="16040"/>
          <w:pgMar w:top="494" w:right="1226" w:bottom="587" w:left="1530" w:header="0" w:footer="720" w:gutter="0"/>
          <w:cols w:num="3" w:space="720" w:equalWidth="0">
            <w:col w:w="2860" w:space="0"/>
            <w:col w:w="2860" w:space="0"/>
            <w:col w:w="2860" w:space="0"/>
          </w:cols>
        </w:sectPr>
      </w:pPr>
      <w:r>
        <w:rPr>
          <w:b/>
          <w:color w:val="231F20"/>
          <w:sz w:val="16"/>
          <w:szCs w:val="16"/>
        </w:rPr>
        <w:lastRenderedPageBreak/>
        <w:t xml:space="preserve">Основні характеристики КПС Лікування </w:t>
      </w:r>
    </w:p>
    <w:p w:rsidR="001F332D" w:rsidRDefault="006E68E8">
      <w:pPr>
        <w:widowControl w:val="0"/>
        <w:pBdr>
          <w:top w:val="nil"/>
          <w:left w:val="nil"/>
          <w:bottom w:val="nil"/>
          <w:right w:val="nil"/>
          <w:between w:val="nil"/>
        </w:pBdr>
        <w:spacing w:before="577" w:line="240" w:lineRule="auto"/>
        <w:rPr>
          <w:color w:val="231F20"/>
          <w:sz w:val="16"/>
          <w:szCs w:val="16"/>
        </w:rPr>
      </w:pPr>
      <w:r>
        <w:rPr>
          <w:color w:val="231F20"/>
          <w:sz w:val="16"/>
          <w:szCs w:val="16"/>
        </w:rPr>
        <w:lastRenderedPageBreak/>
        <w:t xml:space="preserve">ЛАГ (1-ша група) </w:t>
      </w:r>
    </w:p>
    <w:p w:rsidR="001F332D" w:rsidRDefault="006E68E8">
      <w:pPr>
        <w:widowControl w:val="0"/>
        <w:pBdr>
          <w:top w:val="nil"/>
          <w:left w:val="nil"/>
          <w:bottom w:val="nil"/>
          <w:right w:val="nil"/>
          <w:between w:val="nil"/>
        </w:pBdr>
        <w:spacing w:before="509" w:line="214" w:lineRule="auto"/>
        <w:rPr>
          <w:color w:val="231F20"/>
          <w:sz w:val="16"/>
          <w:szCs w:val="16"/>
        </w:rPr>
      </w:pPr>
      <w:r>
        <w:rPr>
          <w:color w:val="231F20"/>
          <w:sz w:val="16"/>
          <w:szCs w:val="16"/>
        </w:rPr>
        <w:lastRenderedPageBreak/>
        <w:t xml:space="preserve">ВОХЛ (1-ша гру па) </w:t>
      </w:r>
    </w:p>
    <w:p w:rsidR="001F332D" w:rsidRDefault="006E68E8">
      <w:pPr>
        <w:widowControl w:val="0"/>
        <w:pBdr>
          <w:top w:val="nil"/>
          <w:left w:val="nil"/>
          <w:bottom w:val="nil"/>
          <w:right w:val="nil"/>
          <w:between w:val="nil"/>
        </w:pBdr>
        <w:spacing w:before="520" w:line="240" w:lineRule="auto"/>
        <w:rPr>
          <w:color w:val="231F20"/>
          <w:sz w:val="16"/>
          <w:szCs w:val="16"/>
        </w:rPr>
      </w:pPr>
      <w:r>
        <w:rPr>
          <w:color w:val="231F20"/>
          <w:sz w:val="16"/>
          <w:szCs w:val="16"/>
        </w:rPr>
        <w:lastRenderedPageBreak/>
        <w:t xml:space="preserve">ЛГ-ЗЛВ (2-га гру </w:t>
      </w:r>
    </w:p>
    <w:p w:rsidR="001F332D" w:rsidRDefault="006E68E8">
      <w:pPr>
        <w:widowControl w:val="0"/>
        <w:pBdr>
          <w:top w:val="nil"/>
          <w:left w:val="nil"/>
          <w:bottom w:val="nil"/>
          <w:right w:val="nil"/>
          <w:between w:val="nil"/>
        </w:pBdr>
        <w:spacing w:line="214" w:lineRule="auto"/>
        <w:rPr>
          <w:color w:val="231F20"/>
          <w:sz w:val="16"/>
          <w:szCs w:val="16"/>
        </w:rPr>
      </w:pPr>
      <w:r>
        <w:rPr>
          <w:color w:val="231F20"/>
          <w:sz w:val="16"/>
          <w:szCs w:val="16"/>
        </w:rPr>
        <w:t xml:space="preserve">60%, часті ше при ліміто </w:t>
      </w:r>
      <w:r>
        <w:rPr>
          <w:color w:val="231F20"/>
          <w:sz w:val="16"/>
          <w:szCs w:val="16"/>
        </w:rPr>
        <w:lastRenderedPageBreak/>
        <w:t xml:space="preserve">ваній </w:t>
      </w:r>
    </w:p>
    <w:p w:rsidR="001F332D" w:rsidRDefault="006E68E8">
      <w:pPr>
        <w:widowControl w:val="0"/>
        <w:pBdr>
          <w:top w:val="nil"/>
          <w:left w:val="nil"/>
          <w:bottom w:val="nil"/>
          <w:right w:val="nil"/>
          <w:between w:val="nil"/>
        </w:pBdr>
        <w:spacing w:before="221" w:line="225" w:lineRule="auto"/>
        <w:rPr>
          <w:color w:val="231F20"/>
          <w:sz w:val="16"/>
          <w:szCs w:val="16"/>
        </w:rPr>
      </w:pPr>
      <w:r>
        <w:rPr>
          <w:color w:val="231F20"/>
          <w:sz w:val="16"/>
          <w:szCs w:val="16"/>
        </w:rPr>
        <w:t xml:space="preserve">Дуже рідко,  мало діагнос тується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СерТЛА &gt; 35 мм рт. ст.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lastRenderedPageBreak/>
        <w:t xml:space="preserve">КТ: немає значних змін паренхіми ЕхоКГ: немає змін або мінімальні зміни  лівих відділів </w:t>
      </w:r>
    </w:p>
    <w:p w:rsidR="001F332D" w:rsidRDefault="006E68E8">
      <w:pPr>
        <w:widowControl w:val="0"/>
        <w:pBdr>
          <w:top w:val="nil"/>
          <w:left w:val="nil"/>
          <w:bottom w:val="nil"/>
          <w:right w:val="nil"/>
          <w:between w:val="nil"/>
        </w:pBdr>
        <w:spacing w:before="125" w:line="240" w:lineRule="auto"/>
        <w:rPr>
          <w:color w:val="231F20"/>
          <w:sz w:val="16"/>
          <w:szCs w:val="16"/>
        </w:rPr>
      </w:pPr>
      <w:r>
        <w:rPr>
          <w:color w:val="231F20"/>
          <w:sz w:val="16"/>
          <w:szCs w:val="16"/>
        </w:rPr>
        <w:t xml:space="preserve">ДЗЛМВ &lt; 50% </w:t>
      </w:r>
    </w:p>
    <w:p w:rsidR="001F332D" w:rsidRDefault="006E68E8">
      <w:pPr>
        <w:widowControl w:val="0"/>
        <w:pBdr>
          <w:top w:val="nil"/>
          <w:left w:val="nil"/>
          <w:bottom w:val="nil"/>
          <w:right w:val="nil"/>
          <w:between w:val="nil"/>
        </w:pBdr>
        <w:spacing w:before="1" w:line="214" w:lineRule="auto"/>
        <w:rPr>
          <w:color w:val="231F20"/>
          <w:sz w:val="16"/>
          <w:szCs w:val="16"/>
        </w:rPr>
      </w:pPr>
      <w:r>
        <w:rPr>
          <w:color w:val="231F20"/>
          <w:sz w:val="16"/>
          <w:szCs w:val="16"/>
        </w:rPr>
        <w:lastRenderedPageBreak/>
        <w:t xml:space="preserve">КТ: септальні лінії, матове скло, збіль шення лімфатичних вузлів </w:t>
      </w:r>
    </w:p>
    <w:p w:rsidR="001F332D" w:rsidRDefault="006E68E8">
      <w:pPr>
        <w:widowControl w:val="0"/>
        <w:pBdr>
          <w:top w:val="nil"/>
          <w:left w:val="nil"/>
          <w:bottom w:val="nil"/>
          <w:right w:val="nil"/>
          <w:between w:val="nil"/>
        </w:pBdr>
        <w:spacing w:before="136" w:line="214" w:lineRule="auto"/>
        <w:rPr>
          <w:color w:val="231F20"/>
          <w:sz w:val="16"/>
          <w:szCs w:val="16"/>
        </w:rPr>
      </w:pPr>
      <w:r>
        <w:rPr>
          <w:color w:val="231F20"/>
          <w:sz w:val="16"/>
          <w:szCs w:val="16"/>
        </w:rPr>
        <w:t xml:space="preserve">Анамнез: старший вік, </w:t>
      </w:r>
      <w:r>
        <w:rPr>
          <w:color w:val="231F20"/>
          <w:sz w:val="16"/>
          <w:szCs w:val="16"/>
        </w:rPr>
        <w:lastRenderedPageBreak/>
        <w:t xml:space="preserve">ожиріння, АГ, цу кровий діабет, ФП.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Прекапілярна ЛГ </w:t>
      </w:r>
    </w:p>
    <w:p w:rsidR="001F332D" w:rsidRDefault="006E68E8">
      <w:pPr>
        <w:widowControl w:val="0"/>
        <w:pBdr>
          <w:top w:val="nil"/>
          <w:left w:val="nil"/>
          <w:bottom w:val="nil"/>
          <w:right w:val="nil"/>
          <w:between w:val="nil"/>
        </w:pBdr>
        <w:spacing w:line="223" w:lineRule="auto"/>
        <w:rPr>
          <w:color w:val="231F20"/>
          <w:sz w:val="16"/>
          <w:szCs w:val="16"/>
        </w:rPr>
      </w:pPr>
      <w:r>
        <w:rPr>
          <w:color w:val="231F20"/>
          <w:sz w:val="16"/>
          <w:szCs w:val="16"/>
        </w:rPr>
        <w:t xml:space="preserve">СерТЛА &gt;20 мм рт. ст. ТЗЛА &lt;15 мм рт. ст. ЛСО &gt;2 од. Вуда </w:t>
      </w:r>
      <w:r>
        <w:rPr>
          <w:color w:val="231F20"/>
          <w:sz w:val="16"/>
          <w:szCs w:val="16"/>
        </w:rPr>
        <w:lastRenderedPageBreak/>
        <w:t xml:space="preserve">Прекапілярна ЛГ </w:t>
      </w:r>
    </w:p>
    <w:p w:rsidR="001F332D" w:rsidRDefault="006E68E8">
      <w:pPr>
        <w:widowControl w:val="0"/>
        <w:pBdr>
          <w:top w:val="nil"/>
          <w:left w:val="nil"/>
          <w:bottom w:val="nil"/>
          <w:right w:val="nil"/>
          <w:between w:val="nil"/>
        </w:pBdr>
        <w:spacing w:line="218" w:lineRule="auto"/>
        <w:rPr>
          <w:color w:val="231F20"/>
          <w:sz w:val="16"/>
          <w:szCs w:val="16"/>
        </w:rPr>
      </w:pPr>
      <w:r>
        <w:rPr>
          <w:color w:val="231F20"/>
          <w:sz w:val="16"/>
          <w:szCs w:val="16"/>
        </w:rPr>
        <w:t xml:space="preserve">СерТЛА &gt;20 мм рт. ст. ТЗЛА &lt;15 мм рт. ст. ЛСО &gt; 2 од. Вуда Посткапілярна ЛГ СерТЛА &gt;20 мм рт. ст. </w:t>
      </w:r>
    </w:p>
    <w:p w:rsidR="001F332D" w:rsidRDefault="006E68E8">
      <w:pPr>
        <w:widowControl w:val="0"/>
        <w:pBdr>
          <w:top w:val="nil"/>
          <w:left w:val="nil"/>
          <w:bottom w:val="nil"/>
          <w:right w:val="nil"/>
          <w:between w:val="nil"/>
        </w:pBdr>
        <w:spacing w:before="191" w:line="240" w:lineRule="auto"/>
        <w:rPr>
          <w:color w:val="231F20"/>
          <w:sz w:val="16"/>
          <w:szCs w:val="16"/>
        </w:rPr>
      </w:pPr>
      <w:r>
        <w:rPr>
          <w:color w:val="231F20"/>
          <w:sz w:val="16"/>
          <w:szCs w:val="16"/>
        </w:rPr>
        <w:lastRenderedPageBreak/>
        <w:t xml:space="preserve">Терапія ЛГ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Трансплантація легень </w:t>
      </w:r>
    </w:p>
    <w:p w:rsidR="001F332D" w:rsidRDefault="006E68E8">
      <w:pPr>
        <w:widowControl w:val="0"/>
        <w:pBdr>
          <w:top w:val="nil"/>
          <w:left w:val="nil"/>
          <w:bottom w:val="nil"/>
          <w:right w:val="nil"/>
          <w:between w:val="nil"/>
        </w:pBdr>
        <w:spacing w:before="297" w:line="240" w:lineRule="auto"/>
        <w:rPr>
          <w:color w:val="231F20"/>
          <w:sz w:val="16"/>
          <w:szCs w:val="16"/>
        </w:rPr>
      </w:pPr>
      <w:r>
        <w:rPr>
          <w:color w:val="231F20"/>
          <w:sz w:val="16"/>
          <w:szCs w:val="16"/>
        </w:rPr>
        <w:t xml:space="preserve">Діуретики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t xml:space="preserve">Обережна терапія ЛГ </w:t>
      </w:r>
      <w:r>
        <w:rPr>
          <w:color w:val="231F20"/>
          <w:sz w:val="16"/>
          <w:szCs w:val="16"/>
        </w:rPr>
        <w:lastRenderedPageBreak/>
        <w:t xml:space="preserve">Трансплантація легень </w:t>
      </w:r>
    </w:p>
    <w:p w:rsidR="001F332D" w:rsidRDefault="006E68E8">
      <w:pPr>
        <w:widowControl w:val="0"/>
        <w:pBdr>
          <w:top w:val="nil"/>
          <w:left w:val="nil"/>
          <w:bottom w:val="nil"/>
          <w:right w:val="nil"/>
          <w:between w:val="nil"/>
        </w:pBdr>
        <w:spacing w:before="308" w:line="240" w:lineRule="auto"/>
        <w:rPr>
          <w:color w:val="231F20"/>
          <w:sz w:val="16"/>
          <w:szCs w:val="16"/>
        </w:rPr>
        <w:sectPr w:rsidR="001F332D">
          <w:type w:val="continuous"/>
          <w:pgSz w:w="11320" w:h="16040"/>
          <w:pgMar w:top="494" w:right="858" w:bottom="587" w:left="1181" w:header="0" w:footer="720" w:gutter="0"/>
          <w:cols w:num="5" w:space="720" w:equalWidth="0">
            <w:col w:w="1860" w:space="0"/>
            <w:col w:w="1860" w:space="0"/>
            <w:col w:w="1860" w:space="0"/>
            <w:col w:w="1860" w:space="0"/>
            <w:col w:w="1860" w:space="0"/>
          </w:cols>
        </w:sectPr>
      </w:pPr>
      <w:r>
        <w:rPr>
          <w:color w:val="231F20"/>
          <w:sz w:val="16"/>
          <w:szCs w:val="16"/>
        </w:rPr>
        <w:t xml:space="preserve">Діуретики </w:t>
      </w:r>
    </w:p>
    <w:p w:rsidR="001F332D" w:rsidRDefault="006E68E8">
      <w:pPr>
        <w:widowControl w:val="0"/>
        <w:pBdr>
          <w:top w:val="nil"/>
          <w:left w:val="nil"/>
          <w:bottom w:val="nil"/>
          <w:right w:val="nil"/>
          <w:between w:val="nil"/>
        </w:pBdr>
        <w:spacing w:line="494" w:lineRule="auto"/>
        <w:rPr>
          <w:color w:val="231F20"/>
          <w:sz w:val="16"/>
          <w:szCs w:val="16"/>
        </w:rPr>
      </w:pPr>
      <w:r>
        <w:rPr>
          <w:color w:val="231F20"/>
          <w:sz w:val="26"/>
          <w:szCs w:val="26"/>
          <w:vertAlign w:val="subscript"/>
        </w:rPr>
        <w:lastRenderedPageBreak/>
        <w:t xml:space="preserve">па) </w:t>
      </w:r>
      <w:r>
        <w:rPr>
          <w:color w:val="231F20"/>
          <w:sz w:val="16"/>
          <w:szCs w:val="16"/>
        </w:rPr>
        <w:t xml:space="preserve">21% 19%, частіше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lastRenderedPageBreak/>
        <w:t xml:space="preserve">ЕКГ: БЛНПГ або гіпертрофія ЛШ. ЕхоКГ: дилатація ЛП або недостатність /  стеноз клапанів лівих відділів серця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lastRenderedPageBreak/>
        <w:t xml:space="preserve">ТЗЛА &gt;15 мм рт. ст. </w:t>
      </w:r>
    </w:p>
    <w:p w:rsidR="001F332D" w:rsidRDefault="006E68E8">
      <w:pPr>
        <w:widowControl w:val="0"/>
        <w:pBdr>
          <w:top w:val="nil"/>
          <w:left w:val="nil"/>
          <w:bottom w:val="nil"/>
          <w:right w:val="nil"/>
          <w:between w:val="nil"/>
        </w:pBdr>
        <w:spacing w:line="213" w:lineRule="auto"/>
        <w:rPr>
          <w:color w:val="231F20"/>
          <w:sz w:val="16"/>
          <w:szCs w:val="16"/>
        </w:rPr>
      </w:pPr>
      <w:r>
        <w:rPr>
          <w:rFonts w:ascii="Arial Unicode MS" w:eastAsia="Arial Unicode MS" w:hAnsi="Arial Unicode MS" w:cs="Arial Unicode MS"/>
          <w:color w:val="231F20"/>
          <w:sz w:val="16"/>
          <w:szCs w:val="16"/>
        </w:rPr>
        <w:t xml:space="preserve">ЛСО &lt;3 од. Вуда (ізольована), або  ≥3 од. Вуда (комбінована) </w:t>
      </w:r>
    </w:p>
    <w:p w:rsidR="001F332D" w:rsidRDefault="006E68E8">
      <w:pPr>
        <w:widowControl w:val="0"/>
        <w:pBdr>
          <w:top w:val="nil"/>
          <w:left w:val="nil"/>
          <w:bottom w:val="nil"/>
          <w:right w:val="nil"/>
          <w:between w:val="nil"/>
        </w:pBdr>
        <w:spacing w:before="12" w:line="240" w:lineRule="auto"/>
        <w:rPr>
          <w:color w:val="231F20"/>
          <w:sz w:val="16"/>
          <w:szCs w:val="16"/>
        </w:rPr>
      </w:pPr>
      <w:r>
        <w:rPr>
          <w:color w:val="231F20"/>
          <w:sz w:val="16"/>
          <w:szCs w:val="16"/>
        </w:rPr>
        <w:t xml:space="preserve">Прекапілярна ЛГ </w:t>
      </w:r>
    </w:p>
    <w:p w:rsidR="001F332D" w:rsidRDefault="006E68E8">
      <w:pPr>
        <w:widowControl w:val="0"/>
        <w:pBdr>
          <w:top w:val="nil"/>
          <w:left w:val="nil"/>
          <w:bottom w:val="nil"/>
          <w:right w:val="nil"/>
          <w:between w:val="nil"/>
        </w:pBdr>
        <w:spacing w:line="213" w:lineRule="auto"/>
        <w:rPr>
          <w:color w:val="231F20"/>
          <w:sz w:val="16"/>
          <w:szCs w:val="16"/>
        </w:rPr>
        <w:sectPr w:rsidR="001F332D">
          <w:type w:val="continuous"/>
          <w:pgSz w:w="11320" w:h="16040"/>
          <w:pgMar w:top="494" w:right="757" w:bottom="587" w:left="1189" w:header="0" w:footer="720" w:gutter="0"/>
          <w:cols w:num="4" w:space="720" w:equalWidth="0">
            <w:col w:w="2360" w:space="0"/>
            <w:col w:w="2360" w:space="0"/>
            <w:col w:w="2360" w:space="0"/>
            <w:col w:w="2360" w:space="0"/>
          </w:cols>
        </w:sectPr>
      </w:pPr>
      <w:r>
        <w:rPr>
          <w:color w:val="231F20"/>
          <w:sz w:val="16"/>
          <w:szCs w:val="16"/>
        </w:rPr>
        <w:lastRenderedPageBreak/>
        <w:t xml:space="preserve">Лікування захворювання  лівих відділів серця </w:t>
      </w:r>
    </w:p>
    <w:p w:rsidR="001F332D" w:rsidRDefault="006E68E8">
      <w:pPr>
        <w:widowControl w:val="0"/>
        <w:pBdr>
          <w:top w:val="nil"/>
          <w:left w:val="nil"/>
          <w:bottom w:val="nil"/>
          <w:right w:val="nil"/>
          <w:between w:val="nil"/>
        </w:pBdr>
        <w:spacing w:before="512" w:line="214" w:lineRule="auto"/>
        <w:rPr>
          <w:color w:val="231F20"/>
          <w:sz w:val="16"/>
          <w:szCs w:val="16"/>
        </w:rPr>
      </w:pPr>
      <w:r>
        <w:rPr>
          <w:color w:val="231F20"/>
          <w:sz w:val="16"/>
          <w:szCs w:val="16"/>
        </w:rPr>
        <w:lastRenderedPageBreak/>
        <w:t xml:space="preserve">ЛГ-ЗЛ (3-тя гру па)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t xml:space="preserve">при дифузній  з ураженням  шкіри </w:t>
      </w:r>
    </w:p>
    <w:p w:rsidR="001F332D" w:rsidRDefault="006E68E8">
      <w:pPr>
        <w:widowControl w:val="0"/>
        <w:pBdr>
          <w:top w:val="nil"/>
          <w:left w:val="nil"/>
          <w:bottom w:val="nil"/>
          <w:right w:val="nil"/>
          <w:between w:val="nil"/>
        </w:pBdr>
        <w:spacing w:before="96" w:line="240" w:lineRule="auto"/>
        <w:rPr>
          <w:color w:val="231F20"/>
          <w:sz w:val="16"/>
          <w:szCs w:val="16"/>
        </w:rPr>
      </w:pPr>
      <w:r>
        <w:rPr>
          <w:color w:val="231F20"/>
          <w:sz w:val="16"/>
          <w:szCs w:val="16"/>
        </w:rPr>
        <w:lastRenderedPageBreak/>
        <w:t xml:space="preserve">ФЖЄЛ &lt;70%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Зміни паренхіми легень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t xml:space="preserve">СерТЛА &gt;20 мм рт. ст. (зазвичай  &lt;35 мм рт. ст.) </w:t>
      </w:r>
    </w:p>
    <w:p w:rsidR="001F332D" w:rsidRDefault="006E68E8">
      <w:pPr>
        <w:widowControl w:val="0"/>
        <w:pBdr>
          <w:top w:val="nil"/>
          <w:left w:val="nil"/>
          <w:bottom w:val="nil"/>
          <w:right w:val="nil"/>
          <w:between w:val="nil"/>
        </w:pBdr>
        <w:spacing w:before="384" w:line="240" w:lineRule="auto"/>
        <w:rPr>
          <w:color w:val="231F20"/>
          <w:sz w:val="16"/>
          <w:szCs w:val="16"/>
        </w:rPr>
      </w:pPr>
      <w:r>
        <w:rPr>
          <w:color w:val="231F20"/>
          <w:sz w:val="16"/>
          <w:szCs w:val="16"/>
        </w:rPr>
        <w:lastRenderedPageBreak/>
        <w:t xml:space="preserve">ТЗЛА &lt;15 мм рт. ст.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ЛСО &gt;2 од. Вуда </w:t>
      </w:r>
    </w:p>
    <w:p w:rsidR="001F332D" w:rsidRDefault="006E68E8">
      <w:pPr>
        <w:widowControl w:val="0"/>
        <w:pBdr>
          <w:top w:val="nil"/>
          <w:left w:val="nil"/>
          <w:bottom w:val="nil"/>
          <w:right w:val="nil"/>
          <w:between w:val="nil"/>
        </w:pBdr>
        <w:spacing w:before="7" w:line="240" w:lineRule="auto"/>
        <w:rPr>
          <w:color w:val="231F20"/>
          <w:sz w:val="16"/>
          <w:szCs w:val="16"/>
        </w:rPr>
      </w:pPr>
      <w:r>
        <w:rPr>
          <w:color w:val="231F20"/>
          <w:sz w:val="16"/>
          <w:szCs w:val="16"/>
        </w:rPr>
        <w:t xml:space="preserve">Прекапілярна ЛГ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t xml:space="preserve">Імуносупресивна терапія </w:t>
      </w:r>
      <w:r>
        <w:rPr>
          <w:color w:val="231F20"/>
          <w:sz w:val="16"/>
          <w:szCs w:val="16"/>
        </w:rPr>
        <w:lastRenderedPageBreak/>
        <w:t xml:space="preserve">Нінтеданіб </w:t>
      </w:r>
    </w:p>
    <w:p w:rsidR="001F332D" w:rsidRDefault="006E68E8">
      <w:pPr>
        <w:widowControl w:val="0"/>
        <w:pBdr>
          <w:top w:val="nil"/>
          <w:left w:val="nil"/>
          <w:bottom w:val="nil"/>
          <w:right w:val="nil"/>
          <w:between w:val="nil"/>
        </w:pBdr>
        <w:spacing w:before="2" w:line="455" w:lineRule="auto"/>
        <w:rPr>
          <w:color w:val="231F20"/>
          <w:sz w:val="16"/>
          <w:szCs w:val="16"/>
        </w:rPr>
        <w:sectPr w:rsidR="001F332D">
          <w:type w:val="continuous"/>
          <w:pgSz w:w="11320" w:h="16040"/>
          <w:pgMar w:top="494" w:right="789" w:bottom="587" w:left="1181" w:header="0" w:footer="720" w:gutter="0"/>
          <w:cols w:num="5" w:space="720" w:equalWidth="0">
            <w:col w:w="1880" w:space="0"/>
            <w:col w:w="1880" w:space="0"/>
            <w:col w:w="1880" w:space="0"/>
            <w:col w:w="1880" w:space="0"/>
            <w:col w:w="1880" w:space="0"/>
          </w:cols>
        </w:sectPr>
      </w:pPr>
      <w:r>
        <w:rPr>
          <w:color w:val="231F20"/>
          <w:sz w:val="16"/>
          <w:szCs w:val="16"/>
        </w:rPr>
        <w:t xml:space="preserve">Трансплантація легень Антикоагулянти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26"/>
          <w:szCs w:val="26"/>
          <w:vertAlign w:val="subscript"/>
        </w:rPr>
        <w:lastRenderedPageBreak/>
        <w:t xml:space="preserve">па) Невідома </w:t>
      </w:r>
      <w:r>
        <w:rPr>
          <w:color w:val="231F20"/>
          <w:sz w:val="16"/>
          <w:szCs w:val="16"/>
        </w:rPr>
        <w:t xml:space="preserve">ТГВ в анамнезі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ХТЕЛГ (4-та гру </w:t>
      </w:r>
    </w:p>
    <w:p w:rsidR="001F332D" w:rsidRDefault="006E68E8">
      <w:pPr>
        <w:widowControl w:val="0"/>
        <w:pBdr>
          <w:top w:val="nil"/>
          <w:left w:val="nil"/>
          <w:bottom w:val="nil"/>
          <w:right w:val="nil"/>
          <w:between w:val="nil"/>
        </w:pBdr>
        <w:spacing w:before="192" w:line="240" w:lineRule="auto"/>
        <w:rPr>
          <w:color w:val="231F20"/>
          <w:sz w:val="16"/>
          <w:szCs w:val="16"/>
        </w:rPr>
      </w:pPr>
      <w:r>
        <w:rPr>
          <w:color w:val="231F20"/>
          <w:sz w:val="16"/>
          <w:szCs w:val="16"/>
        </w:rPr>
        <w:lastRenderedPageBreak/>
        <w:t xml:space="preserve">КТ-ознаки ТЕЛА </w:t>
      </w:r>
    </w:p>
    <w:p w:rsidR="001F332D" w:rsidRDefault="006E68E8">
      <w:pPr>
        <w:widowControl w:val="0"/>
        <w:pBdr>
          <w:top w:val="nil"/>
          <w:left w:val="nil"/>
          <w:bottom w:val="nil"/>
          <w:right w:val="nil"/>
          <w:between w:val="nil"/>
        </w:pBdr>
        <w:spacing w:line="213" w:lineRule="auto"/>
        <w:rPr>
          <w:color w:val="231F20"/>
          <w:sz w:val="16"/>
          <w:szCs w:val="16"/>
        </w:rPr>
      </w:pPr>
      <w:r>
        <w:rPr>
          <w:color w:val="231F20"/>
          <w:sz w:val="16"/>
          <w:szCs w:val="16"/>
        </w:rPr>
        <w:t xml:space="preserve">СерТЛА &gt;20 мм рт. ст. ТЗЛА &lt;15 мм рт. ст. ЛСО &gt;2 од. Вуда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lastRenderedPageBreak/>
        <w:t xml:space="preserve">ТЕ </w:t>
      </w:r>
    </w:p>
    <w:p w:rsidR="001F332D" w:rsidRDefault="006E68E8">
      <w:pPr>
        <w:widowControl w:val="0"/>
        <w:pBdr>
          <w:top w:val="nil"/>
          <w:left w:val="nil"/>
          <w:bottom w:val="nil"/>
          <w:right w:val="nil"/>
          <w:between w:val="nil"/>
        </w:pBdr>
        <w:spacing w:line="240" w:lineRule="auto"/>
        <w:rPr>
          <w:color w:val="231F20"/>
          <w:sz w:val="16"/>
          <w:szCs w:val="16"/>
        </w:rPr>
      </w:pPr>
      <w:r>
        <w:rPr>
          <w:color w:val="231F20"/>
          <w:sz w:val="16"/>
          <w:szCs w:val="16"/>
        </w:rPr>
        <w:t xml:space="preserve">БА </w:t>
      </w:r>
    </w:p>
    <w:p w:rsidR="001F332D" w:rsidRDefault="006E68E8">
      <w:pPr>
        <w:widowControl w:val="0"/>
        <w:pBdr>
          <w:top w:val="nil"/>
          <w:left w:val="nil"/>
          <w:bottom w:val="nil"/>
          <w:right w:val="nil"/>
          <w:between w:val="nil"/>
        </w:pBdr>
        <w:spacing w:line="240" w:lineRule="auto"/>
        <w:rPr>
          <w:color w:val="231F20"/>
          <w:sz w:val="16"/>
          <w:szCs w:val="16"/>
        </w:rPr>
        <w:sectPr w:rsidR="001F332D">
          <w:type w:val="continuous"/>
          <w:pgSz w:w="11320" w:h="16040"/>
          <w:pgMar w:top="494" w:right="1269" w:bottom="587" w:left="1181" w:header="0" w:footer="720" w:gutter="0"/>
          <w:cols w:num="3" w:space="720" w:equalWidth="0">
            <w:col w:w="2960" w:space="0"/>
            <w:col w:w="2960" w:space="0"/>
            <w:col w:w="2960" w:space="0"/>
          </w:cols>
        </w:sectPr>
      </w:pPr>
      <w:r>
        <w:rPr>
          <w:color w:val="231F20"/>
          <w:sz w:val="16"/>
          <w:szCs w:val="16"/>
        </w:rPr>
        <w:t xml:space="preserve">Ріоцигуат </w:t>
      </w:r>
    </w:p>
    <w:p w:rsidR="001F332D" w:rsidRDefault="006E68E8">
      <w:pPr>
        <w:widowControl w:val="0"/>
        <w:pBdr>
          <w:top w:val="nil"/>
          <w:left w:val="nil"/>
          <w:bottom w:val="nil"/>
          <w:right w:val="nil"/>
          <w:between w:val="nil"/>
        </w:pBdr>
        <w:spacing w:before="61" w:line="226" w:lineRule="auto"/>
        <w:ind w:left="405" w:right="-11" w:hanging="1"/>
        <w:rPr>
          <w:color w:val="231F20"/>
          <w:sz w:val="17"/>
          <w:szCs w:val="17"/>
        </w:rPr>
        <w:sectPr w:rsidR="001F332D">
          <w:type w:val="continuous"/>
          <w:pgSz w:w="11320" w:h="16040"/>
          <w:pgMar w:top="494" w:right="689" w:bottom="587" w:left="733" w:header="0" w:footer="720" w:gutter="0"/>
          <w:cols w:space="720" w:equalWidth="0">
            <w:col w:w="9897" w:space="0"/>
          </w:cols>
        </w:sectPr>
      </w:pPr>
      <w:r>
        <w:rPr>
          <w:i/>
          <w:color w:val="231F20"/>
          <w:sz w:val="17"/>
          <w:szCs w:val="17"/>
        </w:rPr>
        <w:lastRenderedPageBreak/>
        <w:t xml:space="preserve">Примітки: </w:t>
      </w:r>
      <w:r>
        <w:rPr>
          <w:color w:val="231F20"/>
          <w:sz w:val="17"/>
          <w:szCs w:val="17"/>
        </w:rPr>
        <w:t>КПС — катетеризація правих відділів серця, серТЛА — середній тиск у легеневій артерії, ТЕЛА — тромбоемболія легеневої артерії;  ЕхоКГ — ехокардіографія, ЛСО — легеневий судинний опір, ДЗЛМВ — дифузійна здатність легень за монооксидом вуглецю, ЛГ-ЗЛВ — ле г</w:t>
      </w:r>
      <w:r>
        <w:rPr>
          <w:color w:val="231F20"/>
          <w:sz w:val="17"/>
          <w:szCs w:val="17"/>
        </w:rPr>
        <w:t xml:space="preserve">енева гіпертензія, асоційована із захворюванням лівих відділів серця, АГ — артеріальна гіпертензія, ФП — фібриляція передсердь, ЕКГ —  електрокардіографія, БЛНПГ — блокада лівої ніжки пучка Гіса, ЛШ — лівий шлуночок, ЛП — ліве передсердя, ЛГ-ЗЛ — легенева </w:t>
      </w:r>
      <w:r>
        <w:rPr>
          <w:color w:val="231F20"/>
          <w:sz w:val="17"/>
          <w:szCs w:val="17"/>
        </w:rPr>
        <w:t xml:space="preserve">гіпертензія,  асоційована із захворюванням легень, ТГВ — тромбоз глибоких вен, ТЕ — тромбендартеректомія, БА — балонна ангіопластика. </w:t>
      </w:r>
    </w:p>
    <w:p w:rsidR="001F332D" w:rsidRDefault="006E68E8">
      <w:pPr>
        <w:widowControl w:val="0"/>
        <w:pBdr>
          <w:top w:val="nil"/>
          <w:left w:val="nil"/>
          <w:bottom w:val="nil"/>
          <w:right w:val="nil"/>
          <w:between w:val="nil"/>
        </w:pBdr>
        <w:spacing w:before="154" w:line="243" w:lineRule="auto"/>
        <w:ind w:left="8" w:right="123" w:firstLine="5"/>
        <w:rPr>
          <w:color w:val="231F20"/>
          <w:sz w:val="19"/>
          <w:szCs w:val="19"/>
        </w:rPr>
      </w:pPr>
      <w:r>
        <w:rPr>
          <w:color w:val="231F20"/>
          <w:sz w:val="19"/>
          <w:szCs w:val="19"/>
        </w:rPr>
        <w:lastRenderedPageBreak/>
        <w:t xml:space="preserve">гіпоксемія. Як правило, такі пацієнти починають  отримувати специфічну терапію, але в них відмі чають або резистентність </w:t>
      </w:r>
      <w:r>
        <w:rPr>
          <w:color w:val="231F20"/>
          <w:sz w:val="19"/>
          <w:szCs w:val="19"/>
        </w:rPr>
        <w:t xml:space="preserve">до лікування, або про гресуюче погіршення стану. Для цих пацієнтів ха рактерне найгірше виживання, вони потребують  направлення на трансплантацію легень першо чергово з моменту встановлення діагнозу [16, 17]. </w:t>
      </w:r>
    </w:p>
    <w:p w:rsidR="001F332D" w:rsidRDefault="006E68E8">
      <w:pPr>
        <w:widowControl w:val="0"/>
        <w:pBdr>
          <w:top w:val="nil"/>
          <w:left w:val="nil"/>
          <w:bottom w:val="nil"/>
          <w:right w:val="nil"/>
          <w:between w:val="nil"/>
        </w:pBdr>
        <w:spacing w:before="6" w:line="243" w:lineRule="auto"/>
        <w:ind w:right="122" w:firstLine="285"/>
        <w:jc w:val="both"/>
        <w:rPr>
          <w:color w:val="231F20"/>
          <w:sz w:val="19"/>
          <w:szCs w:val="19"/>
        </w:rPr>
      </w:pPr>
      <w:r>
        <w:rPr>
          <w:color w:val="231F20"/>
          <w:sz w:val="19"/>
          <w:szCs w:val="19"/>
        </w:rPr>
        <w:t xml:space="preserve">У контексті диференціації форм ЛГ особливу  цінність мають вже згадані вище дослідження ФЗД  та ДЗЛМВ як неінвазивні інструменти для оцінки  характеру й вираженості ураження легень. Ці ме </w:t>
      </w:r>
    </w:p>
    <w:p w:rsidR="001F332D" w:rsidRDefault="006E68E8">
      <w:pPr>
        <w:widowControl w:val="0"/>
        <w:pBdr>
          <w:top w:val="nil"/>
          <w:left w:val="nil"/>
          <w:bottom w:val="nil"/>
          <w:right w:val="nil"/>
          <w:between w:val="nil"/>
        </w:pBdr>
        <w:spacing w:before="6" w:line="241" w:lineRule="auto"/>
        <w:ind w:right="120" w:firstLine="3"/>
        <w:rPr>
          <w:color w:val="231F20"/>
          <w:sz w:val="19"/>
          <w:szCs w:val="19"/>
        </w:rPr>
      </w:pPr>
      <w:r>
        <w:rPr>
          <w:color w:val="231F20"/>
          <w:sz w:val="19"/>
          <w:szCs w:val="19"/>
        </w:rPr>
        <w:t>тоди, згідно з останньою настановою Європей ського товариства карді</w:t>
      </w:r>
      <w:r>
        <w:rPr>
          <w:color w:val="231F20"/>
          <w:sz w:val="19"/>
          <w:szCs w:val="19"/>
        </w:rPr>
        <w:t>ологів (ESC) та Європей ського респіраторного товариства (ERS) 2022 р.  з діагностики та лікування ЛГ (ESC/ERS 2022) [1],  входять до складу обов’язкових обстежень паці єнтів із ЛГ. ФЗД — це фізіологічний тест із фік суванням об’ємів та потоків повітря, як</w:t>
      </w:r>
      <w:r>
        <w:rPr>
          <w:color w:val="231F20"/>
          <w:sz w:val="19"/>
          <w:szCs w:val="19"/>
        </w:rPr>
        <w:t>і пацієнт  здатний вдихати або видихати зі звичайним або  максимальним зусиллям, що характеризує стан  нижніх дихальних шляхів. ДЗЛМВ — метод діа гностики порушень газообміну в легеневій тка нині. При цьому порушення переносу дихальних  газів (О</w:t>
      </w:r>
      <w:r>
        <w:rPr>
          <w:color w:val="231F20"/>
          <w:sz w:val="18"/>
          <w:szCs w:val="18"/>
          <w:vertAlign w:val="subscript"/>
        </w:rPr>
        <w:t xml:space="preserve">2 </w:t>
      </w:r>
      <w:r>
        <w:rPr>
          <w:color w:val="231F20"/>
          <w:sz w:val="19"/>
          <w:szCs w:val="19"/>
        </w:rPr>
        <w:t>та СО</w:t>
      </w:r>
      <w:r>
        <w:rPr>
          <w:color w:val="231F20"/>
          <w:sz w:val="18"/>
          <w:szCs w:val="18"/>
          <w:vertAlign w:val="subscript"/>
        </w:rPr>
        <w:t>2</w:t>
      </w:r>
      <w:r>
        <w:rPr>
          <w:color w:val="231F20"/>
          <w:sz w:val="19"/>
          <w:szCs w:val="19"/>
        </w:rPr>
        <w:t>) із вдихуваного повітря до артері альної крові може бути спричинене як погіршан ням структурних та/або функціональних власти востей альвеолярно-капілярної мембрани, так  і іншими анатомо-фізіологічними факторами.  Адже процес перенесення монооксиду вуглец</w:t>
      </w:r>
      <w:r>
        <w:rPr>
          <w:color w:val="231F20"/>
          <w:sz w:val="19"/>
          <w:szCs w:val="19"/>
        </w:rPr>
        <w:t xml:space="preserve">ю  (СО) з навколишнього середовища у кров легене вих капілярів має декілька етапів, з яких ключове  значення мають транспортування СО до дихаль </w:t>
      </w:r>
    </w:p>
    <w:p w:rsidR="001F332D" w:rsidRDefault="006E68E8">
      <w:pPr>
        <w:widowControl w:val="0"/>
        <w:pBdr>
          <w:top w:val="nil"/>
          <w:left w:val="nil"/>
          <w:bottom w:val="nil"/>
          <w:right w:val="nil"/>
          <w:between w:val="nil"/>
        </w:pBdr>
        <w:spacing w:line="243" w:lineRule="auto"/>
        <w:ind w:left="118" w:right="8" w:firstLine="11"/>
        <w:rPr>
          <w:color w:val="231F20"/>
          <w:sz w:val="19"/>
          <w:szCs w:val="19"/>
        </w:rPr>
      </w:pPr>
      <w:r>
        <w:rPr>
          <w:color w:val="231F20"/>
          <w:sz w:val="19"/>
          <w:szCs w:val="19"/>
        </w:rPr>
        <w:lastRenderedPageBreak/>
        <w:t>них шляхів і альвеол; перенесення СО через межу  між газоподібним та рідинним середовищем аль веолярно-капілярн</w:t>
      </w:r>
      <w:r>
        <w:rPr>
          <w:color w:val="231F20"/>
          <w:sz w:val="19"/>
          <w:szCs w:val="19"/>
        </w:rPr>
        <w:t xml:space="preserve">ої мембрани; дифузія СО все редину еритроцитів і хімічна реакція з компонен тами гемоглобіну крові. </w:t>
      </w:r>
    </w:p>
    <w:p w:rsidR="001F332D" w:rsidRDefault="006E68E8">
      <w:pPr>
        <w:widowControl w:val="0"/>
        <w:pBdr>
          <w:top w:val="nil"/>
          <w:left w:val="nil"/>
          <w:bottom w:val="nil"/>
          <w:right w:val="nil"/>
          <w:between w:val="nil"/>
        </w:pBdr>
        <w:spacing w:before="6" w:line="243" w:lineRule="auto"/>
        <w:ind w:left="118" w:right="5" w:firstLine="297"/>
        <w:jc w:val="both"/>
        <w:rPr>
          <w:color w:val="231F20"/>
          <w:sz w:val="19"/>
          <w:szCs w:val="19"/>
        </w:rPr>
      </w:pPr>
      <w:r>
        <w:rPr>
          <w:color w:val="231F20"/>
          <w:sz w:val="19"/>
          <w:szCs w:val="19"/>
        </w:rPr>
        <w:t xml:space="preserve">При ЛАГ та ХТЕЛГ у майже 70 % пацієнтів від мічають зниження ДЗЛМВ (&lt;80%). Це може від буватися як внаслідок потовщення альвеолярно капілярної мембрани через проліферацію ендо телію, так і через зменшення капілярного об’єму,  </w:t>
      </w:r>
    </w:p>
    <w:p w:rsidR="001F332D" w:rsidRDefault="006E68E8">
      <w:pPr>
        <w:widowControl w:val="0"/>
        <w:pBdr>
          <w:top w:val="nil"/>
          <w:left w:val="nil"/>
          <w:bottom w:val="nil"/>
          <w:right w:val="nil"/>
          <w:between w:val="nil"/>
        </w:pBdr>
        <w:spacing w:before="6" w:line="243" w:lineRule="auto"/>
        <w:ind w:left="116" w:right="5" w:firstLine="7"/>
        <w:rPr>
          <w:color w:val="231F20"/>
          <w:sz w:val="19"/>
          <w:szCs w:val="19"/>
        </w:rPr>
      </w:pPr>
      <w:r>
        <w:rPr>
          <w:color w:val="231F20"/>
          <w:sz w:val="19"/>
          <w:szCs w:val="19"/>
        </w:rPr>
        <w:t>яке виникає через ремоделюван</w:t>
      </w:r>
      <w:r>
        <w:rPr>
          <w:color w:val="231F20"/>
          <w:sz w:val="19"/>
          <w:szCs w:val="19"/>
        </w:rPr>
        <w:t xml:space="preserve">ня малих артерій  (гіпертрофія, плексиформне пошкодження), що  супроводжується збільшенням </w:t>
      </w:r>
      <w:r>
        <w:rPr>
          <w:color w:val="000000"/>
          <w:sz w:val="19"/>
          <w:szCs w:val="19"/>
        </w:rPr>
        <w:t>ОЛС</w:t>
      </w:r>
      <w:r>
        <w:rPr>
          <w:color w:val="231F20"/>
          <w:sz w:val="19"/>
          <w:szCs w:val="19"/>
        </w:rPr>
        <w:t>, зменшен ням хвилинного об’єму крові (ХОК) та виникнен ням локального тромбозу [18]. Окрім того, на по казник ДЗЛМВ можуть впливати куріння, наявність  інтралеге</w:t>
      </w:r>
      <w:r>
        <w:rPr>
          <w:color w:val="231F20"/>
          <w:sz w:val="19"/>
          <w:szCs w:val="19"/>
        </w:rPr>
        <w:t xml:space="preserve">невих або інтракардіальних шунтів, кон центрація гемоглобіну [19]. ДЗЛМВ &lt;50 % є значу щим маркером наявності ураження легеневих су дин (частіше при венооклюзійній хворобі легень)  або паренхіми легень [20]. У пацієнтів із систем ним склерозом ДЗЛМВ &lt;60 % </w:t>
      </w:r>
      <w:r>
        <w:rPr>
          <w:color w:val="231F20"/>
          <w:sz w:val="19"/>
          <w:szCs w:val="19"/>
        </w:rPr>
        <w:t xml:space="preserve">асоціюється з на явністю ЛАГ у пацієнтів із незначними клінічними  симптомами [21], а відношення ДЗЛМВ / альве олярний об’єм &lt;60 % є предиктором виникнення  </w:t>
      </w:r>
    </w:p>
    <w:p w:rsidR="001F332D" w:rsidRDefault="006E68E8">
      <w:pPr>
        <w:widowControl w:val="0"/>
        <w:pBdr>
          <w:top w:val="nil"/>
          <w:left w:val="nil"/>
          <w:bottom w:val="nil"/>
          <w:right w:val="nil"/>
          <w:between w:val="nil"/>
        </w:pBdr>
        <w:spacing w:before="6" w:line="243" w:lineRule="auto"/>
        <w:ind w:left="118" w:right="5" w:hanging="8"/>
        <w:rPr>
          <w:color w:val="231F20"/>
          <w:sz w:val="19"/>
          <w:szCs w:val="19"/>
        </w:rPr>
        <w:sectPr w:rsidR="001F332D">
          <w:type w:val="continuous"/>
          <w:pgSz w:w="11320" w:h="16040"/>
          <w:pgMar w:top="494" w:right="671" w:bottom="587" w:left="1133" w:header="0" w:footer="720" w:gutter="0"/>
          <w:cols w:num="2" w:space="720" w:equalWidth="0">
            <w:col w:w="4760" w:space="0"/>
            <w:col w:w="4760" w:space="0"/>
          </w:cols>
        </w:sectPr>
      </w:pPr>
      <w:r>
        <w:rPr>
          <w:color w:val="231F20"/>
          <w:sz w:val="19"/>
          <w:szCs w:val="19"/>
        </w:rPr>
        <w:t>ЛГ протягом наступних 36 міс [22, 23]. Існують дані, що ДЗЛМВ може б</w:t>
      </w:r>
      <w:r>
        <w:rPr>
          <w:color w:val="231F20"/>
          <w:sz w:val="19"/>
          <w:szCs w:val="19"/>
        </w:rPr>
        <w:t>ути також про гностичним маркером для пацієнтів з ІЛАГ [24,  25], ХТЕЛГ [26] та при системному склерозі [27].  Цей показник доданий у калькулятор REVEAL  (Registry to Evaluate Early and Long-term PAH Disease  Management) 1.0 та REVEAL 2.0 для визначення ви</w:t>
      </w:r>
      <w:r>
        <w:rPr>
          <w:color w:val="231F20"/>
          <w:sz w:val="19"/>
          <w:szCs w:val="19"/>
        </w:rPr>
        <w:t xml:space="preserve"> </w:t>
      </w:r>
    </w:p>
    <w:p w:rsidR="001F332D" w:rsidRDefault="006E68E8">
      <w:pPr>
        <w:widowControl w:val="0"/>
        <w:pBdr>
          <w:top w:val="nil"/>
          <w:left w:val="nil"/>
          <w:bottom w:val="nil"/>
          <w:right w:val="nil"/>
          <w:between w:val="nil"/>
        </w:pBdr>
        <w:spacing w:before="157" w:line="240" w:lineRule="auto"/>
        <w:ind w:right="239"/>
        <w:jc w:val="right"/>
        <w:rPr>
          <w:color w:val="FFFFFF"/>
          <w:sz w:val="24"/>
          <w:szCs w:val="24"/>
        </w:rPr>
      </w:pPr>
      <w:r>
        <w:rPr>
          <w:color w:val="485E88"/>
          <w:sz w:val="26"/>
          <w:szCs w:val="26"/>
          <w:vertAlign w:val="superscript"/>
        </w:rPr>
        <w:lastRenderedPageBreak/>
        <w:t xml:space="preserve">УКРАЇНСЬКИЙ РЕВМАТОЛОГІЧНИЙ ЖУРНАЛ • № 1 (99) • 2025 </w:t>
      </w:r>
      <w:r>
        <w:rPr>
          <w:color w:val="FFFFFF"/>
          <w:sz w:val="24"/>
          <w:szCs w:val="24"/>
        </w:rPr>
        <w:t xml:space="preserve">3 </w:t>
      </w:r>
    </w:p>
    <w:p w:rsidR="001F332D" w:rsidRDefault="006E68E8">
      <w:pPr>
        <w:widowControl w:val="0"/>
        <w:pBdr>
          <w:top w:val="nil"/>
          <w:left w:val="nil"/>
          <w:bottom w:val="nil"/>
          <w:right w:val="nil"/>
          <w:between w:val="nil"/>
        </w:pBdr>
        <w:spacing w:line="240" w:lineRule="auto"/>
        <w:ind w:left="21"/>
        <w:rPr>
          <w:color w:val="485E88"/>
          <w:sz w:val="24"/>
          <w:szCs w:val="24"/>
        </w:rPr>
      </w:pPr>
      <w:r>
        <w:rPr>
          <w:color w:val="485E88"/>
          <w:sz w:val="24"/>
          <w:szCs w:val="24"/>
        </w:rPr>
        <w:t>ВЛАСНІ СПОСТЕРЕЖЕННЯ</w:t>
      </w:r>
    </w:p>
    <w:p w:rsidR="001F332D" w:rsidRDefault="006E68E8">
      <w:pPr>
        <w:widowControl w:val="0"/>
        <w:pBdr>
          <w:top w:val="nil"/>
          <w:left w:val="nil"/>
          <w:bottom w:val="nil"/>
          <w:right w:val="nil"/>
          <w:between w:val="nil"/>
        </w:pBdr>
        <w:spacing w:before="64" w:line="240" w:lineRule="auto"/>
        <w:ind w:right="388"/>
        <w:jc w:val="right"/>
        <w:rPr>
          <w:b/>
          <w:color w:val="485E88"/>
          <w:sz w:val="16"/>
          <w:szCs w:val="16"/>
        </w:rPr>
      </w:pPr>
      <w:r>
        <w:rPr>
          <w:b/>
          <w:color w:val="485E88"/>
          <w:sz w:val="16"/>
          <w:szCs w:val="16"/>
        </w:rPr>
        <w:t xml:space="preserve">Таблиця 2  </w:t>
      </w:r>
    </w:p>
    <w:p w:rsidR="001F332D" w:rsidRDefault="006E68E8">
      <w:pPr>
        <w:widowControl w:val="0"/>
        <w:pBdr>
          <w:top w:val="nil"/>
          <w:left w:val="nil"/>
          <w:bottom w:val="nil"/>
          <w:right w:val="nil"/>
          <w:between w:val="nil"/>
        </w:pBdr>
        <w:spacing w:line="240" w:lineRule="auto"/>
        <w:ind w:left="612"/>
        <w:rPr>
          <w:b/>
          <w:color w:val="231F20"/>
          <w:sz w:val="16"/>
          <w:szCs w:val="16"/>
        </w:rPr>
      </w:pPr>
      <w:r>
        <w:rPr>
          <w:b/>
          <w:color w:val="231F20"/>
          <w:sz w:val="16"/>
          <w:szCs w:val="16"/>
        </w:rPr>
        <w:t xml:space="preserve">Клініко-демографічні параметри, показники функції зовнішнього дихання та ДЗЛ у пацієнтів із ЛГ (М±СКП або n, %) </w:t>
      </w:r>
    </w:p>
    <w:p w:rsidR="001F332D" w:rsidRDefault="006E68E8">
      <w:pPr>
        <w:widowControl w:val="0"/>
        <w:pBdr>
          <w:top w:val="nil"/>
          <w:left w:val="nil"/>
          <w:bottom w:val="nil"/>
          <w:right w:val="nil"/>
          <w:between w:val="nil"/>
        </w:pBdr>
        <w:spacing w:before="68" w:line="226" w:lineRule="auto"/>
        <w:ind w:left="8" w:right="385" w:firstLine="52"/>
        <w:rPr>
          <w:color w:val="231F20"/>
          <w:sz w:val="17"/>
          <w:szCs w:val="17"/>
        </w:rPr>
      </w:pPr>
      <w:r>
        <w:rPr>
          <w:b/>
          <w:color w:val="231F20"/>
          <w:sz w:val="16"/>
          <w:szCs w:val="16"/>
        </w:rPr>
        <w:t xml:space="preserve">Показник ЛГ загалом (n=60) ІЛАГ (n=15) ЛАГ-СЗСТ (n=15) ЛАГ-ВВС (n=15) ХТЕЛГ (n=15) Вік, роки </w:t>
      </w:r>
      <w:r>
        <w:rPr>
          <w:color w:val="231F20"/>
          <w:sz w:val="16"/>
          <w:szCs w:val="16"/>
        </w:rPr>
        <w:t xml:space="preserve">48,65±1,34 46,87±2,26 50,93±2,83 45,93±2,44 50,87±3,09 </w:t>
      </w:r>
      <w:r>
        <w:rPr>
          <w:b/>
          <w:color w:val="231F20"/>
          <w:sz w:val="16"/>
          <w:szCs w:val="16"/>
        </w:rPr>
        <w:t xml:space="preserve">Зріст, см </w:t>
      </w:r>
      <w:r>
        <w:rPr>
          <w:color w:val="231F20"/>
          <w:sz w:val="16"/>
          <w:szCs w:val="16"/>
        </w:rPr>
        <w:t xml:space="preserve">168,92±1,06 169,40±2,23 167,27±2,03 168,47±2,17 170,53±2,20 </w:t>
      </w:r>
      <w:r>
        <w:rPr>
          <w:b/>
          <w:color w:val="231F20"/>
          <w:sz w:val="16"/>
          <w:szCs w:val="16"/>
        </w:rPr>
        <w:t xml:space="preserve">Маса тіла, кг </w:t>
      </w:r>
      <w:r>
        <w:rPr>
          <w:color w:val="231F20"/>
          <w:sz w:val="16"/>
          <w:szCs w:val="16"/>
        </w:rPr>
        <w:t>72,09±2,03 77,47±5,64 69</w:t>
      </w:r>
      <w:r>
        <w:rPr>
          <w:color w:val="231F20"/>
          <w:sz w:val="16"/>
          <w:szCs w:val="16"/>
        </w:rPr>
        <w:t xml:space="preserve">,80±3,14 67,54±3,64 73,53±3,25 </w:t>
      </w:r>
      <w:r>
        <w:rPr>
          <w:b/>
          <w:color w:val="231F20"/>
          <w:sz w:val="16"/>
          <w:szCs w:val="16"/>
        </w:rPr>
        <w:t>ІМТ, кг/м</w:t>
      </w:r>
      <w:r>
        <w:rPr>
          <w:b/>
          <w:color w:val="231F20"/>
          <w:sz w:val="15"/>
          <w:szCs w:val="15"/>
          <w:vertAlign w:val="superscript"/>
        </w:rPr>
        <w:t xml:space="preserve">2 </w:t>
      </w:r>
      <w:r>
        <w:rPr>
          <w:color w:val="231F20"/>
          <w:sz w:val="16"/>
          <w:szCs w:val="16"/>
        </w:rPr>
        <w:t xml:space="preserve">25,15±0,58 26,65±1,27 25,07±1,29 23,70±1,12 25,18±0,85 </w:t>
      </w:r>
      <w:r>
        <w:rPr>
          <w:b/>
          <w:color w:val="231F20"/>
          <w:sz w:val="16"/>
          <w:szCs w:val="16"/>
        </w:rPr>
        <w:t xml:space="preserve">Жінки/чоловіки, n (%) </w:t>
      </w:r>
      <w:r>
        <w:rPr>
          <w:color w:val="231F20"/>
          <w:sz w:val="16"/>
          <w:szCs w:val="16"/>
        </w:rPr>
        <w:t xml:space="preserve">39 (65) / 21 (35) 10 (66,7) / 5 (33,3) 10 (66,7) / 5 (33,3) 11 (73,3) / 4 (26,7) 8 (53,3) / 7 (46,7) </w:t>
      </w:r>
      <w:r>
        <w:rPr>
          <w:b/>
          <w:color w:val="231F20"/>
          <w:sz w:val="16"/>
          <w:szCs w:val="16"/>
        </w:rPr>
        <w:t xml:space="preserve">ЖЄЛ, % </w:t>
      </w:r>
      <w:r>
        <w:rPr>
          <w:color w:val="231F20"/>
          <w:sz w:val="16"/>
          <w:szCs w:val="16"/>
        </w:rPr>
        <w:t xml:space="preserve">79,85±1,84 87,53±3,88*^ 75,73±4,14 71,73±3,97 83,00±4,52 </w:t>
      </w:r>
      <w:r>
        <w:rPr>
          <w:b/>
          <w:color w:val="231F20"/>
          <w:sz w:val="16"/>
          <w:szCs w:val="16"/>
        </w:rPr>
        <w:t xml:space="preserve">ФЖЄЛ, % </w:t>
      </w:r>
      <w:r>
        <w:rPr>
          <w:color w:val="231F20"/>
          <w:sz w:val="16"/>
          <w:szCs w:val="16"/>
        </w:rPr>
        <w:t xml:space="preserve">76,64±2,01 85,93±4,15^ 73,09±5,47 70,13±4,04 79,00±4,48 </w:t>
      </w:r>
      <w:r>
        <w:rPr>
          <w:b/>
          <w:color w:val="231F20"/>
          <w:sz w:val="16"/>
          <w:szCs w:val="16"/>
        </w:rPr>
        <w:t>ОФВ</w:t>
      </w:r>
      <w:r>
        <w:rPr>
          <w:b/>
          <w:color w:val="231F20"/>
          <w:sz w:val="15"/>
          <w:szCs w:val="15"/>
          <w:vertAlign w:val="subscript"/>
        </w:rPr>
        <w:t>1</w:t>
      </w:r>
      <w:r>
        <w:rPr>
          <w:b/>
          <w:color w:val="231F20"/>
          <w:sz w:val="16"/>
          <w:szCs w:val="16"/>
        </w:rPr>
        <w:t xml:space="preserve">, % </w:t>
      </w:r>
      <w:r>
        <w:rPr>
          <w:color w:val="231F20"/>
          <w:sz w:val="16"/>
          <w:szCs w:val="16"/>
        </w:rPr>
        <w:t>77,61±1,99 86,67±4,54*^ 73,13±4,21 67,80±4,06</w:t>
      </w:r>
      <w:r>
        <w:rPr>
          <w:color w:val="231F20"/>
          <w:sz w:val="15"/>
          <w:szCs w:val="15"/>
          <w:vertAlign w:val="superscript"/>
        </w:rPr>
        <w:t xml:space="preserve">$ </w:t>
      </w:r>
      <w:r>
        <w:rPr>
          <w:color w:val="231F20"/>
          <w:sz w:val="16"/>
          <w:szCs w:val="16"/>
        </w:rPr>
        <w:t xml:space="preserve">83,20±4,89^ </w:t>
      </w:r>
      <w:r>
        <w:rPr>
          <w:b/>
          <w:color w:val="231F20"/>
          <w:sz w:val="16"/>
          <w:szCs w:val="16"/>
        </w:rPr>
        <w:t>ОФВ</w:t>
      </w:r>
      <w:r>
        <w:rPr>
          <w:b/>
          <w:color w:val="231F20"/>
          <w:sz w:val="15"/>
          <w:szCs w:val="15"/>
          <w:vertAlign w:val="subscript"/>
        </w:rPr>
        <w:t xml:space="preserve">1 </w:t>
      </w:r>
      <w:r>
        <w:rPr>
          <w:b/>
          <w:color w:val="231F20"/>
          <w:sz w:val="16"/>
          <w:szCs w:val="16"/>
        </w:rPr>
        <w:t xml:space="preserve">/ ФЖЄЛ, % </w:t>
      </w:r>
      <w:r>
        <w:rPr>
          <w:color w:val="231F20"/>
          <w:sz w:val="16"/>
          <w:szCs w:val="16"/>
        </w:rPr>
        <w:t>107,13±1,01 106,20±2,45 106,00±2,31 102,67±1,94</w:t>
      </w:r>
      <w:r>
        <w:rPr>
          <w:color w:val="231F20"/>
          <w:sz w:val="15"/>
          <w:szCs w:val="15"/>
          <w:vertAlign w:val="superscript"/>
        </w:rPr>
        <w:t xml:space="preserve">$ </w:t>
      </w:r>
      <w:r>
        <w:rPr>
          <w:color w:val="231F20"/>
          <w:sz w:val="16"/>
          <w:szCs w:val="16"/>
        </w:rPr>
        <w:t>110,</w:t>
      </w:r>
      <w:r>
        <w:rPr>
          <w:color w:val="231F20"/>
          <w:sz w:val="16"/>
          <w:szCs w:val="16"/>
        </w:rPr>
        <w:t xml:space="preserve">47±2,88^ </w:t>
      </w:r>
      <w:r>
        <w:rPr>
          <w:b/>
          <w:color w:val="231F20"/>
          <w:sz w:val="16"/>
          <w:szCs w:val="16"/>
        </w:rPr>
        <w:t>ОФВ</w:t>
      </w:r>
      <w:r>
        <w:rPr>
          <w:b/>
          <w:color w:val="231F20"/>
          <w:sz w:val="15"/>
          <w:szCs w:val="15"/>
          <w:vertAlign w:val="subscript"/>
        </w:rPr>
        <w:t>1</w:t>
      </w:r>
      <w:r>
        <w:rPr>
          <w:b/>
          <w:color w:val="231F20"/>
          <w:sz w:val="9"/>
          <w:szCs w:val="9"/>
        </w:rPr>
        <w:t xml:space="preserve"> </w:t>
      </w:r>
      <w:r>
        <w:rPr>
          <w:b/>
          <w:color w:val="231F20"/>
          <w:sz w:val="16"/>
          <w:szCs w:val="16"/>
        </w:rPr>
        <w:t xml:space="preserve">/ ЖЄЛ, % </w:t>
      </w:r>
      <w:r>
        <w:rPr>
          <w:color w:val="231F20"/>
          <w:sz w:val="16"/>
          <w:szCs w:val="16"/>
        </w:rPr>
        <w:t xml:space="preserve">102,09±0,86 102,73±2,01 101,67±2,08 99,00±2,03 103,27±2,22 </w:t>
      </w:r>
      <w:r>
        <w:rPr>
          <w:b/>
          <w:color w:val="231F20"/>
          <w:sz w:val="16"/>
          <w:szCs w:val="16"/>
        </w:rPr>
        <w:t xml:space="preserve">ПШВ, % </w:t>
      </w:r>
      <w:r>
        <w:rPr>
          <w:color w:val="231F20"/>
          <w:sz w:val="16"/>
          <w:szCs w:val="16"/>
        </w:rPr>
        <w:t xml:space="preserve">67,56±2,29 74,87±4,19^ 61,53±5,17 56,80±3,65 70,00±6,06 </w:t>
      </w:r>
      <w:r>
        <w:rPr>
          <w:b/>
          <w:color w:val="231F20"/>
          <w:sz w:val="16"/>
          <w:szCs w:val="16"/>
        </w:rPr>
        <w:t xml:space="preserve">МОШ-75, % </w:t>
      </w:r>
      <w:r>
        <w:rPr>
          <w:color w:val="231F20"/>
          <w:sz w:val="16"/>
          <w:szCs w:val="16"/>
        </w:rPr>
        <w:t xml:space="preserve">65,75±2,59 72,87±5,69^ 60,40±5,65 57,07±4,07 69,87±6,43 </w:t>
      </w:r>
      <w:r>
        <w:rPr>
          <w:b/>
          <w:color w:val="231F20"/>
          <w:sz w:val="16"/>
          <w:szCs w:val="16"/>
        </w:rPr>
        <w:t xml:space="preserve">МОШ-50, % </w:t>
      </w:r>
      <w:r>
        <w:rPr>
          <w:color w:val="231F20"/>
          <w:sz w:val="16"/>
          <w:szCs w:val="16"/>
        </w:rPr>
        <w:t>72,00±2,99 84,73±8,24^ 70,00±6,83 5</w:t>
      </w:r>
      <w:r>
        <w:rPr>
          <w:color w:val="231F20"/>
          <w:sz w:val="16"/>
          <w:szCs w:val="16"/>
        </w:rPr>
        <w:t>5,73±5,55</w:t>
      </w:r>
      <w:r>
        <w:rPr>
          <w:color w:val="231F20"/>
          <w:sz w:val="15"/>
          <w:szCs w:val="15"/>
          <w:vertAlign w:val="superscript"/>
        </w:rPr>
        <w:t xml:space="preserve">$ </w:t>
      </w:r>
      <w:r>
        <w:rPr>
          <w:color w:val="231F20"/>
          <w:sz w:val="16"/>
          <w:szCs w:val="16"/>
        </w:rPr>
        <w:t xml:space="preserve">78,53±6,52^ </w:t>
      </w:r>
      <w:r>
        <w:rPr>
          <w:b/>
          <w:color w:val="231F20"/>
          <w:sz w:val="16"/>
          <w:szCs w:val="16"/>
        </w:rPr>
        <w:t xml:space="preserve">МОШ-25, % </w:t>
      </w:r>
      <w:r>
        <w:rPr>
          <w:color w:val="231F20"/>
          <w:sz w:val="16"/>
          <w:szCs w:val="16"/>
        </w:rPr>
        <w:t xml:space="preserve">76,25±4,25 71,75±7,26 72,87±7,15 58,33±6,56 </w:t>
      </w:r>
      <w:r>
        <w:rPr>
          <w:color w:val="231F20"/>
          <w:sz w:val="16"/>
          <w:szCs w:val="16"/>
        </w:rPr>
        <w:lastRenderedPageBreak/>
        <w:t xml:space="preserve">75,36±7,21 </w:t>
      </w:r>
      <w:r>
        <w:rPr>
          <w:b/>
          <w:color w:val="231F20"/>
          <w:sz w:val="16"/>
          <w:szCs w:val="16"/>
        </w:rPr>
        <w:t xml:space="preserve">ДЗЛМВ, % </w:t>
      </w:r>
      <w:r>
        <w:rPr>
          <w:color w:val="231F20"/>
          <w:sz w:val="16"/>
          <w:szCs w:val="16"/>
        </w:rPr>
        <w:t>55,92±2,34 60,40±3,59** 30,47±3,37</w:t>
      </w:r>
      <w:r>
        <w:rPr>
          <w:color w:val="231F20"/>
          <w:sz w:val="15"/>
          <w:szCs w:val="15"/>
          <w:vertAlign w:val="superscript"/>
        </w:rPr>
        <w:t>$$</w:t>
      </w:r>
      <w:r>
        <w:rPr>
          <w:color w:val="231F20"/>
          <w:sz w:val="16"/>
          <w:szCs w:val="16"/>
        </w:rPr>
        <w:t xml:space="preserve">^^ 63,07±6,14** 57,20±4,18** </w:t>
      </w:r>
      <w:r>
        <w:rPr>
          <w:b/>
          <w:color w:val="231F20"/>
          <w:sz w:val="16"/>
          <w:szCs w:val="16"/>
          <w:u w:val="single"/>
        </w:rPr>
        <w:t xml:space="preserve">ЗЄЛ, % </w:t>
      </w:r>
      <w:r>
        <w:rPr>
          <w:color w:val="231F20"/>
          <w:sz w:val="16"/>
          <w:szCs w:val="16"/>
          <w:u w:val="single"/>
        </w:rPr>
        <w:t xml:space="preserve">80,88±2,32 90,93±3,67* 83,13±4,24 70,07±4,87 79,40±4,38 </w:t>
      </w:r>
      <w:r>
        <w:rPr>
          <w:i/>
          <w:color w:val="231F20"/>
          <w:sz w:val="17"/>
          <w:szCs w:val="17"/>
        </w:rPr>
        <w:t>Примітки</w:t>
      </w:r>
      <w:r>
        <w:rPr>
          <w:color w:val="231F20"/>
          <w:sz w:val="17"/>
          <w:szCs w:val="17"/>
        </w:rPr>
        <w:t>: M — середнє значення показника у вказаній групі; СКП — середньоквадратична похибка; *p&lt;0,05 порівняно з цим показником ЛГ СЗСТ; **p&lt;0,001 порівняно з цим показником ЛГ-СЗСТ; ^p&lt;0,05 порівняно з ідентичним показником групи ЛГ-ВВС; ^^p&lt;0,001 порівняно  з і</w:t>
      </w:r>
      <w:r>
        <w:rPr>
          <w:color w:val="231F20"/>
          <w:sz w:val="17"/>
          <w:szCs w:val="17"/>
        </w:rPr>
        <w:t xml:space="preserve">дентичним показником групи ЛГ-ВВС; </w:t>
      </w:r>
      <w:r>
        <w:rPr>
          <w:color w:val="231F20"/>
          <w:sz w:val="16"/>
          <w:szCs w:val="16"/>
          <w:vertAlign w:val="superscript"/>
        </w:rPr>
        <w:t>$</w:t>
      </w:r>
      <w:r>
        <w:rPr>
          <w:color w:val="231F20"/>
          <w:sz w:val="17"/>
          <w:szCs w:val="17"/>
        </w:rPr>
        <w:t xml:space="preserve">p&lt;0,05 порівняно з ідентичним показником групи ХТЕЛГ; </w:t>
      </w:r>
      <w:r>
        <w:rPr>
          <w:color w:val="231F20"/>
          <w:sz w:val="16"/>
          <w:szCs w:val="16"/>
          <w:vertAlign w:val="superscript"/>
        </w:rPr>
        <w:t>$$</w:t>
      </w:r>
      <w:r>
        <w:rPr>
          <w:color w:val="231F20"/>
          <w:sz w:val="17"/>
          <w:szCs w:val="17"/>
        </w:rPr>
        <w:t>p&lt;0,001 порівняно з ідентичним показни ком групи ХТЕЛГ. ЛГ — легенева гіпертензія; ІЛАГ — ідіопатична легенева артеріальна гіпертензія; ІМТ — індекс маси тіла; ОФВ</w:t>
      </w:r>
      <w:r>
        <w:rPr>
          <w:color w:val="231F20"/>
          <w:sz w:val="16"/>
          <w:szCs w:val="16"/>
          <w:vertAlign w:val="subscript"/>
        </w:rPr>
        <w:t xml:space="preserve">1 </w:t>
      </w:r>
      <w:r>
        <w:rPr>
          <w:color w:val="231F20"/>
          <w:sz w:val="28"/>
          <w:szCs w:val="28"/>
          <w:vertAlign w:val="superscript"/>
        </w:rPr>
        <w:t xml:space="preserve">— об’єм фор </w:t>
      </w:r>
      <w:r>
        <w:rPr>
          <w:color w:val="231F20"/>
          <w:sz w:val="17"/>
          <w:szCs w:val="17"/>
        </w:rPr>
        <w:t xml:space="preserve">сованого видиху за 1 секунду; ПШВ — пікова швидкість видиху; МОШ — максимальна об’ємна швидкість видиху; 75, 25, 50 — частка ФЖЄЛ,  яка залишається в легенях на момент вимірювання; ДЗЛМВ — дифузійна здатність за монооксидом вуглецю. </w:t>
      </w:r>
    </w:p>
    <w:p w:rsidR="001F332D" w:rsidRDefault="006E68E8">
      <w:pPr>
        <w:widowControl w:val="0"/>
        <w:pBdr>
          <w:top w:val="nil"/>
          <w:left w:val="nil"/>
          <w:bottom w:val="nil"/>
          <w:right w:val="nil"/>
          <w:between w:val="nil"/>
        </w:pBdr>
        <w:spacing w:before="102" w:line="240" w:lineRule="auto"/>
        <w:ind w:right="388"/>
        <w:jc w:val="right"/>
        <w:rPr>
          <w:b/>
          <w:color w:val="485E88"/>
          <w:sz w:val="16"/>
          <w:szCs w:val="16"/>
        </w:rPr>
      </w:pPr>
      <w:r>
        <w:rPr>
          <w:b/>
          <w:color w:val="485E88"/>
          <w:sz w:val="16"/>
          <w:szCs w:val="16"/>
        </w:rPr>
        <w:t xml:space="preserve">Таблиця </w:t>
      </w:r>
      <w:r>
        <w:rPr>
          <w:b/>
          <w:color w:val="485E88"/>
          <w:sz w:val="16"/>
          <w:szCs w:val="16"/>
        </w:rPr>
        <w:t xml:space="preserve">3  </w:t>
      </w:r>
    </w:p>
    <w:p w:rsidR="001F332D" w:rsidRDefault="006E68E8">
      <w:pPr>
        <w:widowControl w:val="0"/>
        <w:pBdr>
          <w:top w:val="nil"/>
          <w:left w:val="nil"/>
          <w:bottom w:val="nil"/>
          <w:right w:val="nil"/>
          <w:between w:val="nil"/>
        </w:pBdr>
        <w:spacing w:line="240" w:lineRule="auto"/>
        <w:ind w:left="1556"/>
        <w:rPr>
          <w:b/>
          <w:color w:val="231F20"/>
          <w:sz w:val="16"/>
          <w:szCs w:val="16"/>
        </w:rPr>
      </w:pPr>
      <w:r>
        <w:rPr>
          <w:b/>
          <w:color w:val="231F20"/>
          <w:sz w:val="16"/>
          <w:szCs w:val="16"/>
        </w:rPr>
        <w:t xml:space="preserve">Результати кореляційно-регресійного аналізу* основних показників ФЗД у пацієнтів із ЛГ </w:t>
      </w:r>
    </w:p>
    <w:p w:rsidR="001F332D" w:rsidRDefault="006E68E8">
      <w:pPr>
        <w:widowControl w:val="0"/>
        <w:pBdr>
          <w:top w:val="nil"/>
          <w:left w:val="nil"/>
          <w:bottom w:val="nil"/>
          <w:right w:val="nil"/>
          <w:between w:val="nil"/>
        </w:pBdr>
        <w:spacing w:before="68" w:line="240" w:lineRule="auto"/>
        <w:ind w:left="743"/>
        <w:rPr>
          <w:b/>
          <w:color w:val="231F20"/>
          <w:sz w:val="16"/>
          <w:szCs w:val="16"/>
        </w:rPr>
        <w:sectPr w:rsidR="001F332D">
          <w:type w:val="continuous"/>
          <w:pgSz w:w="11320" w:h="16040"/>
          <w:pgMar w:top="494" w:right="689" w:bottom="587" w:left="733" w:header="0" w:footer="720" w:gutter="0"/>
          <w:cols w:space="720" w:equalWidth="0">
            <w:col w:w="9897" w:space="0"/>
          </w:cols>
        </w:sectPr>
      </w:pPr>
      <w:r>
        <w:rPr>
          <w:b/>
          <w:color w:val="231F20"/>
          <w:sz w:val="26"/>
          <w:szCs w:val="26"/>
          <w:vertAlign w:val="subscript"/>
        </w:rPr>
        <w:t xml:space="preserve">Показник </w:t>
      </w:r>
      <w:r>
        <w:rPr>
          <w:b/>
          <w:color w:val="231F20"/>
          <w:sz w:val="16"/>
          <w:szCs w:val="16"/>
        </w:rPr>
        <w:t>ОФВ</w:t>
      </w:r>
      <w:r>
        <w:rPr>
          <w:b/>
          <w:color w:val="231F20"/>
          <w:sz w:val="15"/>
          <w:szCs w:val="15"/>
          <w:vertAlign w:val="subscript"/>
        </w:rPr>
        <w:t>1</w:t>
      </w:r>
      <w:r>
        <w:rPr>
          <w:b/>
          <w:color w:val="231F20"/>
          <w:sz w:val="16"/>
          <w:szCs w:val="16"/>
        </w:rPr>
        <w:t xml:space="preserve">, % </w:t>
      </w:r>
    </w:p>
    <w:p w:rsidR="001F332D" w:rsidRDefault="001F332D">
      <w:pPr>
        <w:widowControl w:val="0"/>
        <w:pBdr>
          <w:top w:val="nil"/>
          <w:left w:val="nil"/>
          <w:bottom w:val="nil"/>
          <w:right w:val="nil"/>
          <w:between w:val="nil"/>
        </w:pBdr>
        <w:rPr>
          <w:b/>
          <w:color w:val="231F20"/>
          <w:sz w:val="16"/>
          <w:szCs w:val="16"/>
        </w:rPr>
      </w:pPr>
    </w:p>
    <w:tbl>
      <w:tblPr>
        <w:tblStyle w:val="a5"/>
        <w:tblW w:w="4620" w:type="dxa"/>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125"/>
        <w:gridCol w:w="2495"/>
      </w:tblGrid>
      <w:tr w:rsidR="001F332D">
        <w:trPr>
          <w:trHeight w:val="3446"/>
        </w:trPr>
        <w:tc>
          <w:tcPr>
            <w:tcW w:w="2125" w:type="dxa"/>
            <w:shd w:val="clear" w:color="auto" w:fill="auto"/>
            <w:tcMar>
              <w:top w:w="100" w:type="dxa"/>
              <w:left w:w="100" w:type="dxa"/>
              <w:bottom w:w="100" w:type="dxa"/>
              <w:right w:w="100" w:type="dxa"/>
            </w:tcMar>
          </w:tcPr>
          <w:p w:rsidR="001F332D" w:rsidRDefault="006E68E8">
            <w:pPr>
              <w:widowControl w:val="0"/>
              <w:pBdr>
                <w:top w:val="nil"/>
                <w:left w:val="nil"/>
                <w:bottom w:val="nil"/>
                <w:right w:val="nil"/>
                <w:between w:val="nil"/>
              </w:pBdr>
              <w:spacing w:line="240" w:lineRule="auto"/>
              <w:jc w:val="center"/>
              <w:rPr>
                <w:b/>
                <w:color w:val="231F20"/>
                <w:sz w:val="16"/>
                <w:szCs w:val="16"/>
              </w:rPr>
            </w:pPr>
            <w:r>
              <w:rPr>
                <w:b/>
                <w:color w:val="231F20"/>
                <w:sz w:val="16"/>
                <w:szCs w:val="16"/>
              </w:rPr>
              <w:t xml:space="preserve">ЖЄЛ, % </w:t>
            </w:r>
          </w:p>
          <w:p w:rsidR="001F332D" w:rsidRDefault="006E68E8">
            <w:pPr>
              <w:widowControl w:val="0"/>
              <w:pBdr>
                <w:top w:val="nil"/>
                <w:left w:val="nil"/>
                <w:bottom w:val="nil"/>
                <w:right w:val="nil"/>
                <w:between w:val="nil"/>
              </w:pBdr>
              <w:spacing w:line="222" w:lineRule="auto"/>
              <w:ind w:left="173" w:right="83" w:firstLine="48"/>
              <w:jc w:val="both"/>
              <w:rPr>
                <w:color w:val="231F20"/>
                <w:sz w:val="16"/>
                <w:szCs w:val="16"/>
              </w:rPr>
            </w:pPr>
            <w:r>
              <w:rPr>
                <w:b/>
                <w:color w:val="231F20"/>
                <w:sz w:val="16"/>
                <w:szCs w:val="16"/>
              </w:rPr>
              <w:t>r р</w:t>
            </w:r>
            <w:r>
              <w:rPr>
                <w:b/>
                <w:color w:val="231F20"/>
                <w:sz w:val="15"/>
                <w:szCs w:val="15"/>
                <w:vertAlign w:val="subscript"/>
              </w:rPr>
              <w:t xml:space="preserve">1 </w:t>
            </w:r>
            <w:r>
              <w:rPr>
                <w:b/>
                <w:color w:val="231F20"/>
                <w:sz w:val="16"/>
                <w:szCs w:val="16"/>
              </w:rPr>
              <w:t>p</w:t>
            </w:r>
            <w:r>
              <w:rPr>
                <w:b/>
                <w:color w:val="231F20"/>
                <w:sz w:val="25"/>
                <w:szCs w:val="25"/>
                <w:vertAlign w:val="superscript"/>
              </w:rPr>
              <w:t xml:space="preserve">2 </w:t>
            </w:r>
            <w:r>
              <w:rPr>
                <w:color w:val="231F20"/>
                <w:sz w:val="16"/>
                <w:szCs w:val="16"/>
              </w:rPr>
              <w:t xml:space="preserve">0,050 0,702 НЗ 0,130 0,321 НЗ 0,143 0,308 НЗ 0,080 0,553 НЗ -0,010 0,942 НЗ 0,004 0,974 НЗ -0,260 0,053 НЗ –0,098 0,458 НЗ 0,139 0,327 НЗ 0,030 0,839 НЗ 0,245 0,105 НЗ 0,005 0,974 НЗ –0,287 0,026* 0,037* </w:t>
            </w:r>
          </w:p>
          <w:p w:rsidR="001F332D" w:rsidRDefault="006E68E8">
            <w:pPr>
              <w:widowControl w:val="0"/>
              <w:pBdr>
                <w:top w:val="nil"/>
                <w:left w:val="nil"/>
                <w:bottom w:val="nil"/>
                <w:right w:val="nil"/>
                <w:between w:val="nil"/>
              </w:pBdr>
              <w:spacing w:before="3" w:line="225" w:lineRule="auto"/>
              <w:ind w:left="173" w:right="207"/>
              <w:jc w:val="center"/>
              <w:rPr>
                <w:color w:val="231F20"/>
                <w:sz w:val="16"/>
                <w:szCs w:val="16"/>
              </w:rPr>
            </w:pPr>
            <w:r>
              <w:rPr>
                <w:color w:val="231F20"/>
                <w:sz w:val="16"/>
                <w:szCs w:val="16"/>
              </w:rPr>
              <w:t xml:space="preserve">–0,114 0,384 НЗ p=0,037 </w:t>
            </w:r>
          </w:p>
        </w:tc>
        <w:tc>
          <w:tcPr>
            <w:tcW w:w="2494" w:type="dxa"/>
            <w:shd w:val="clear" w:color="auto" w:fill="auto"/>
            <w:tcMar>
              <w:top w:w="100" w:type="dxa"/>
              <w:left w:w="100" w:type="dxa"/>
              <w:bottom w:w="100" w:type="dxa"/>
              <w:right w:w="100" w:type="dxa"/>
            </w:tcMar>
          </w:tcPr>
          <w:p w:rsidR="001F332D" w:rsidRDefault="006E68E8">
            <w:pPr>
              <w:widowControl w:val="0"/>
              <w:pBdr>
                <w:top w:val="nil"/>
                <w:left w:val="nil"/>
                <w:bottom w:val="nil"/>
                <w:right w:val="nil"/>
                <w:between w:val="nil"/>
              </w:pBdr>
              <w:spacing w:line="240" w:lineRule="auto"/>
              <w:jc w:val="center"/>
              <w:rPr>
                <w:b/>
                <w:color w:val="231F20"/>
                <w:sz w:val="16"/>
                <w:szCs w:val="16"/>
              </w:rPr>
            </w:pPr>
            <w:r>
              <w:rPr>
                <w:b/>
                <w:color w:val="231F20"/>
                <w:sz w:val="16"/>
                <w:szCs w:val="16"/>
              </w:rPr>
              <w:t xml:space="preserve">ФЖЄЛ, % </w:t>
            </w:r>
          </w:p>
          <w:p w:rsidR="001F332D" w:rsidRDefault="006E68E8">
            <w:pPr>
              <w:widowControl w:val="0"/>
              <w:pBdr>
                <w:top w:val="nil"/>
                <w:left w:val="nil"/>
                <w:bottom w:val="nil"/>
                <w:right w:val="nil"/>
                <w:between w:val="nil"/>
              </w:pBdr>
              <w:spacing w:line="221" w:lineRule="auto"/>
              <w:ind w:left="209" w:right="154" w:firstLine="48"/>
              <w:jc w:val="both"/>
              <w:rPr>
                <w:color w:val="231F20"/>
                <w:sz w:val="16"/>
                <w:szCs w:val="16"/>
              </w:rPr>
            </w:pPr>
            <w:r>
              <w:rPr>
                <w:b/>
                <w:color w:val="231F20"/>
                <w:sz w:val="16"/>
                <w:szCs w:val="16"/>
              </w:rPr>
              <w:t>r р</w:t>
            </w:r>
            <w:r>
              <w:rPr>
                <w:b/>
                <w:color w:val="231F20"/>
                <w:sz w:val="15"/>
                <w:szCs w:val="15"/>
                <w:vertAlign w:val="subscript"/>
              </w:rPr>
              <w:t xml:space="preserve">1 </w:t>
            </w:r>
            <w:r>
              <w:rPr>
                <w:b/>
                <w:color w:val="231F20"/>
                <w:sz w:val="16"/>
                <w:szCs w:val="16"/>
              </w:rPr>
              <w:t>p</w:t>
            </w:r>
            <w:r>
              <w:rPr>
                <w:b/>
                <w:color w:val="231F20"/>
                <w:sz w:val="25"/>
                <w:szCs w:val="25"/>
                <w:vertAlign w:val="superscript"/>
              </w:rPr>
              <w:t xml:space="preserve">2 </w:t>
            </w:r>
            <w:r>
              <w:rPr>
                <w:color w:val="231F20"/>
                <w:sz w:val="16"/>
                <w:szCs w:val="16"/>
              </w:rPr>
              <w:t xml:space="preserve">0,086 0,530 НЗ 0,171 0,212 НЗ 0,109 0,456 НЗ 0,090 0,527 НЗ –0,024 0,865 НЗ -0,006 0,966 НЗ -0,320 0,022* 0,009* </w:t>
            </w:r>
          </w:p>
          <w:p w:rsidR="001F332D" w:rsidRDefault="006E68E8">
            <w:pPr>
              <w:widowControl w:val="0"/>
              <w:pBdr>
                <w:top w:val="nil"/>
                <w:left w:val="nil"/>
                <w:bottom w:val="nil"/>
                <w:right w:val="nil"/>
                <w:between w:val="nil"/>
              </w:pBdr>
              <w:spacing w:before="3" w:line="225" w:lineRule="auto"/>
              <w:ind w:left="257" w:right="278" w:hanging="47"/>
              <w:jc w:val="both"/>
              <w:rPr>
                <w:color w:val="231F20"/>
                <w:sz w:val="16"/>
                <w:szCs w:val="16"/>
              </w:rPr>
            </w:pPr>
            <w:r>
              <w:rPr>
                <w:color w:val="231F20"/>
                <w:sz w:val="16"/>
                <w:szCs w:val="16"/>
              </w:rPr>
              <w:t xml:space="preserve">–0,076 0,582 НЗ 0,129 0,388 НЗ 0,008 0,959 НЗ 0,231 0,147 НЗ </w:t>
            </w:r>
          </w:p>
          <w:p w:rsidR="001F332D" w:rsidRDefault="006E68E8">
            <w:pPr>
              <w:widowControl w:val="0"/>
              <w:pBdr>
                <w:top w:val="nil"/>
                <w:left w:val="nil"/>
                <w:bottom w:val="nil"/>
                <w:right w:val="nil"/>
                <w:between w:val="nil"/>
              </w:pBdr>
              <w:spacing w:before="3" w:line="225" w:lineRule="auto"/>
              <w:ind w:left="209" w:right="187"/>
              <w:jc w:val="center"/>
              <w:rPr>
                <w:color w:val="231F20"/>
                <w:sz w:val="16"/>
                <w:szCs w:val="16"/>
              </w:rPr>
            </w:pPr>
            <w:r>
              <w:rPr>
                <w:color w:val="231F20"/>
                <w:sz w:val="16"/>
                <w:szCs w:val="16"/>
              </w:rPr>
              <w:t xml:space="preserve">–0,014 0,926 НЗ –0,268 0,048* 0,150 –0,067 0,629 НЗ p=0,012 </w:t>
            </w:r>
          </w:p>
        </w:tc>
      </w:tr>
    </w:tbl>
    <w:p w:rsidR="001F332D" w:rsidRDefault="001F332D">
      <w:pPr>
        <w:widowControl w:val="0"/>
        <w:pBdr>
          <w:top w:val="nil"/>
          <w:left w:val="nil"/>
          <w:bottom w:val="nil"/>
          <w:right w:val="nil"/>
          <w:between w:val="nil"/>
        </w:pBdr>
        <w:rPr>
          <w:color w:val="000000"/>
        </w:rPr>
      </w:pPr>
    </w:p>
    <w:p w:rsidR="001F332D" w:rsidRDefault="001F332D">
      <w:pPr>
        <w:widowControl w:val="0"/>
        <w:pBdr>
          <w:top w:val="nil"/>
          <w:left w:val="nil"/>
          <w:bottom w:val="nil"/>
          <w:right w:val="nil"/>
          <w:between w:val="nil"/>
        </w:pBdr>
        <w:rPr>
          <w:color w:val="000000"/>
        </w:rPr>
      </w:pPr>
    </w:p>
    <w:p w:rsidR="001F332D" w:rsidRDefault="006E68E8">
      <w:pPr>
        <w:widowControl w:val="0"/>
        <w:pBdr>
          <w:top w:val="nil"/>
          <w:left w:val="nil"/>
          <w:bottom w:val="nil"/>
          <w:right w:val="nil"/>
          <w:between w:val="nil"/>
        </w:pBdr>
        <w:spacing w:line="240" w:lineRule="auto"/>
        <w:rPr>
          <w:b/>
          <w:color w:val="231F20"/>
          <w:sz w:val="9"/>
          <w:szCs w:val="9"/>
        </w:rPr>
        <w:sectPr w:rsidR="001F332D">
          <w:type w:val="continuous"/>
          <w:pgSz w:w="11320" w:h="16040"/>
          <w:pgMar w:top="494" w:right="1516" w:bottom="587" w:left="2852" w:header="0" w:footer="720" w:gutter="0"/>
          <w:cols w:num="2" w:space="720" w:equalWidth="0">
            <w:col w:w="3480" w:space="0"/>
            <w:col w:w="3480" w:space="0"/>
          </w:cols>
        </w:sectPr>
      </w:pPr>
      <w:r>
        <w:rPr>
          <w:b/>
          <w:color w:val="231F20"/>
          <w:sz w:val="16"/>
          <w:szCs w:val="16"/>
        </w:rPr>
        <w:t>r р</w:t>
      </w:r>
      <w:r>
        <w:rPr>
          <w:b/>
          <w:color w:val="231F20"/>
          <w:sz w:val="15"/>
          <w:szCs w:val="15"/>
          <w:vertAlign w:val="subscript"/>
        </w:rPr>
        <w:t xml:space="preserve">1 </w:t>
      </w:r>
      <w:r>
        <w:rPr>
          <w:b/>
          <w:color w:val="231F20"/>
          <w:sz w:val="16"/>
          <w:szCs w:val="16"/>
        </w:rPr>
        <w:t>p</w:t>
      </w:r>
      <w:r>
        <w:rPr>
          <w:b/>
          <w:color w:val="231F20"/>
          <w:sz w:val="15"/>
          <w:szCs w:val="15"/>
          <w:vertAlign w:val="subscript"/>
        </w:rPr>
        <w:t>2</w:t>
      </w:r>
      <w:r>
        <w:rPr>
          <w:b/>
          <w:color w:val="231F20"/>
          <w:sz w:val="9"/>
          <w:szCs w:val="9"/>
        </w:rPr>
        <w:t xml:space="preserve"> </w:t>
      </w:r>
    </w:p>
    <w:p w:rsidR="001F332D" w:rsidRDefault="006E68E8">
      <w:pPr>
        <w:widowControl w:val="0"/>
        <w:pBdr>
          <w:top w:val="nil"/>
          <w:left w:val="nil"/>
          <w:bottom w:val="nil"/>
          <w:right w:val="nil"/>
          <w:between w:val="nil"/>
        </w:pBdr>
        <w:spacing w:line="223" w:lineRule="auto"/>
        <w:ind w:left="49" w:right="720" w:firstLine="10"/>
        <w:rPr>
          <w:color w:val="231F20"/>
          <w:sz w:val="16"/>
          <w:szCs w:val="16"/>
        </w:rPr>
      </w:pPr>
      <w:r>
        <w:rPr>
          <w:color w:val="231F20"/>
          <w:sz w:val="16"/>
          <w:szCs w:val="16"/>
        </w:rPr>
        <w:lastRenderedPageBreak/>
        <w:t>Вік, роки 0,051 0,698 НЗ Маса тіла, кг 0,266 0,040* 0,172 SpO</w:t>
      </w:r>
      <w:r>
        <w:rPr>
          <w:color w:val="231F20"/>
          <w:sz w:val="15"/>
          <w:szCs w:val="15"/>
          <w:vertAlign w:val="subscript"/>
        </w:rPr>
        <w:t>2</w:t>
      </w:r>
      <w:r>
        <w:rPr>
          <w:color w:val="231F20"/>
          <w:sz w:val="16"/>
          <w:szCs w:val="16"/>
        </w:rPr>
        <w:t>, % 0,174 0,212 НЗ Дистанція 6ХТ, м 0,127 0,345 НЗ Гемоглобін, г/л 0,031 0,813 НЗ N-КМНУП, пг/мл -0,003 0,983 НЗ Індекс ПП, мл/м</w:t>
      </w:r>
      <w:r>
        <w:rPr>
          <w:color w:val="231F20"/>
          <w:sz w:val="15"/>
          <w:szCs w:val="15"/>
          <w:vertAlign w:val="superscript"/>
        </w:rPr>
        <w:t xml:space="preserve">2 </w:t>
      </w:r>
      <w:r>
        <w:rPr>
          <w:color w:val="231F20"/>
          <w:sz w:val="16"/>
          <w:szCs w:val="16"/>
        </w:rPr>
        <w:t>-0,215 0,111 НЗ TAPSE, мм –0,088 0,506 НЗ СерТЛА, мм рт. ст. 0,122 0,389 НЗ СТПШ, мм рт. ст. 0,039 0,792 НЗ ЗЛО, од. Вуда 0,246 0,103 НЗ SaО</w:t>
      </w:r>
      <w:r>
        <w:rPr>
          <w:color w:val="231F20"/>
          <w:sz w:val="15"/>
          <w:szCs w:val="15"/>
          <w:vertAlign w:val="subscript"/>
        </w:rPr>
        <w:t>2</w:t>
      </w:r>
      <w:r>
        <w:rPr>
          <w:color w:val="231F20"/>
          <w:sz w:val="16"/>
          <w:szCs w:val="16"/>
        </w:rPr>
        <w:t xml:space="preserve">, % 0,092 0,529 НЗ </w:t>
      </w:r>
    </w:p>
    <w:p w:rsidR="001F332D" w:rsidRDefault="006E68E8">
      <w:pPr>
        <w:widowControl w:val="0"/>
        <w:pBdr>
          <w:top w:val="nil"/>
          <w:left w:val="nil"/>
          <w:bottom w:val="nil"/>
          <w:right w:val="nil"/>
          <w:between w:val="nil"/>
        </w:pBdr>
        <w:spacing w:line="225" w:lineRule="auto"/>
        <w:ind w:left="49" w:right="686" w:firstLine="10"/>
        <w:rPr>
          <w:color w:val="231F20"/>
          <w:sz w:val="16"/>
          <w:szCs w:val="16"/>
          <w:u w:val="single"/>
        </w:rPr>
      </w:pPr>
      <w:r>
        <w:rPr>
          <w:color w:val="231F20"/>
          <w:sz w:val="16"/>
          <w:szCs w:val="16"/>
        </w:rPr>
        <w:t xml:space="preserve">Наявність ВВС –0,370 0,004* 0,027* Наявність системного склерозу –0,100 0,449 НЗ </w:t>
      </w:r>
      <w:r>
        <w:rPr>
          <w:color w:val="231F20"/>
          <w:sz w:val="16"/>
          <w:szCs w:val="16"/>
          <w:u w:val="single"/>
        </w:rPr>
        <w:t>Тест ANOVA p=0</w:t>
      </w:r>
      <w:r>
        <w:rPr>
          <w:color w:val="231F20"/>
          <w:sz w:val="16"/>
          <w:szCs w:val="16"/>
          <w:u w:val="single"/>
        </w:rPr>
        <w:t xml:space="preserve">,021 </w:t>
      </w:r>
    </w:p>
    <w:p w:rsidR="001F332D" w:rsidRDefault="006E68E8">
      <w:pPr>
        <w:widowControl w:val="0"/>
        <w:pBdr>
          <w:top w:val="nil"/>
          <w:left w:val="nil"/>
          <w:bottom w:val="nil"/>
          <w:right w:val="nil"/>
          <w:between w:val="nil"/>
        </w:pBdr>
        <w:spacing w:before="171" w:line="209" w:lineRule="auto"/>
        <w:ind w:left="10" w:right="386" w:firstLine="1"/>
        <w:rPr>
          <w:color w:val="231F20"/>
          <w:sz w:val="17"/>
          <w:szCs w:val="17"/>
        </w:rPr>
      </w:pPr>
      <w:r>
        <w:rPr>
          <w:color w:val="231F20"/>
          <w:sz w:val="17"/>
          <w:szCs w:val="17"/>
        </w:rPr>
        <w:t>*У таблиці представлено лише показники, які мали статистично значущу кореляцію; р</w:t>
      </w:r>
      <w:r>
        <w:rPr>
          <w:color w:val="231F20"/>
          <w:sz w:val="16"/>
          <w:szCs w:val="16"/>
          <w:vertAlign w:val="subscript"/>
        </w:rPr>
        <w:t xml:space="preserve">1 </w:t>
      </w:r>
      <w:r>
        <w:rPr>
          <w:color w:val="231F20"/>
          <w:sz w:val="17"/>
          <w:szCs w:val="17"/>
        </w:rPr>
        <w:t>— статистична значущість кореляційного зв’язку; р</w:t>
      </w:r>
      <w:r>
        <w:rPr>
          <w:color w:val="231F20"/>
          <w:sz w:val="16"/>
          <w:szCs w:val="16"/>
          <w:vertAlign w:val="subscript"/>
        </w:rPr>
        <w:t xml:space="preserve">2 </w:t>
      </w:r>
      <w:r>
        <w:rPr>
          <w:color w:val="231F20"/>
          <w:sz w:val="17"/>
          <w:szCs w:val="17"/>
        </w:rPr>
        <w:t xml:space="preserve">—  статистична значущість мультифакторного регресійного аналізу. </w:t>
      </w:r>
    </w:p>
    <w:p w:rsidR="001F332D" w:rsidRDefault="006E68E8">
      <w:pPr>
        <w:widowControl w:val="0"/>
        <w:pBdr>
          <w:top w:val="nil"/>
          <w:left w:val="nil"/>
          <w:bottom w:val="nil"/>
          <w:right w:val="nil"/>
          <w:between w:val="nil"/>
        </w:pBdr>
        <w:spacing w:before="15" w:line="226" w:lineRule="auto"/>
        <w:ind w:left="10" w:right="386" w:hanging="1"/>
        <w:rPr>
          <w:color w:val="231F20"/>
          <w:sz w:val="17"/>
          <w:szCs w:val="17"/>
        </w:rPr>
        <w:sectPr w:rsidR="001F332D">
          <w:type w:val="continuous"/>
          <w:pgSz w:w="11320" w:h="16040"/>
          <w:pgMar w:top="494" w:right="689" w:bottom="587" w:left="733" w:header="0" w:footer="720" w:gutter="0"/>
          <w:cols w:space="720" w:equalWidth="0">
            <w:col w:w="9897" w:space="0"/>
          </w:cols>
        </w:sectPr>
      </w:pPr>
      <w:r>
        <w:rPr>
          <w:i/>
          <w:color w:val="231F20"/>
          <w:sz w:val="17"/>
          <w:szCs w:val="17"/>
        </w:rPr>
        <w:t xml:space="preserve">Примітки: </w:t>
      </w:r>
      <w:r>
        <w:rPr>
          <w:color w:val="231F20"/>
          <w:sz w:val="17"/>
          <w:szCs w:val="17"/>
        </w:rPr>
        <w:t>НЗ — не значущо; 6ХТ — тест 6-хвилинної ходьби; N-КМНУП — N-кінцевий мозковий натрійуретичний пропептид; ПП — праве перед сердя; TAPSE — систолічна екскурсія площини кільця трикуспідального клапана; СТПШ — систолічний тиск у правому шлуночку; СерТПШ —  сер</w:t>
      </w:r>
      <w:r>
        <w:rPr>
          <w:color w:val="231F20"/>
          <w:sz w:val="17"/>
          <w:szCs w:val="17"/>
        </w:rPr>
        <w:t>едній тиск у правому шлуночку; ЗЛО— загальний легеневий опір; SaО</w:t>
      </w:r>
      <w:r>
        <w:rPr>
          <w:color w:val="231F20"/>
          <w:sz w:val="16"/>
          <w:szCs w:val="16"/>
          <w:vertAlign w:val="subscript"/>
        </w:rPr>
        <w:t xml:space="preserve">2 </w:t>
      </w:r>
      <w:r>
        <w:rPr>
          <w:color w:val="231F20"/>
          <w:sz w:val="17"/>
          <w:szCs w:val="17"/>
        </w:rPr>
        <w:t xml:space="preserve">— насичення киснем артеріальної крові; ANOVA— дисперсійний аналіз. </w:t>
      </w:r>
    </w:p>
    <w:p w:rsidR="001F332D" w:rsidRDefault="006E68E8">
      <w:pPr>
        <w:widowControl w:val="0"/>
        <w:pBdr>
          <w:top w:val="nil"/>
          <w:left w:val="nil"/>
          <w:bottom w:val="nil"/>
          <w:right w:val="nil"/>
          <w:between w:val="nil"/>
        </w:pBdr>
        <w:spacing w:before="512" w:line="246" w:lineRule="auto"/>
        <w:ind w:right="122"/>
        <w:rPr>
          <w:color w:val="231F20"/>
          <w:sz w:val="19"/>
          <w:szCs w:val="19"/>
        </w:rPr>
      </w:pPr>
      <w:r>
        <w:rPr>
          <w:color w:val="231F20"/>
          <w:sz w:val="19"/>
          <w:szCs w:val="19"/>
        </w:rPr>
        <w:lastRenderedPageBreak/>
        <w:t>живання пацієнтів із ЛАГ або ХТЕЛГ [27–29]. Однак  незважаючи на поширеність використання ДЗЛМВ  для оцінки прогнозу у па</w:t>
      </w:r>
      <w:r>
        <w:rPr>
          <w:color w:val="231F20"/>
          <w:sz w:val="19"/>
          <w:szCs w:val="19"/>
        </w:rPr>
        <w:t>цієнтів із системним скле розом і його обов’язковість застосування упацієнтів  із ЛГ, наразі існує критично малий обсяг досліджень,  які порівнювали б його відмінності, проводячи по шук їх імовірних причин в асоціації з функціональ ним статусом та гемодина</w:t>
      </w:r>
      <w:r>
        <w:rPr>
          <w:color w:val="231F20"/>
          <w:sz w:val="19"/>
          <w:szCs w:val="19"/>
        </w:rPr>
        <w:t xml:space="preserve">мікою, особливо у паці єнтів з ЛГ, пов’язаною із СЗСТ. </w:t>
      </w:r>
    </w:p>
    <w:p w:rsidR="001F332D" w:rsidRDefault="006E68E8">
      <w:pPr>
        <w:widowControl w:val="0"/>
        <w:pBdr>
          <w:top w:val="nil"/>
          <w:left w:val="nil"/>
          <w:bottom w:val="nil"/>
          <w:right w:val="nil"/>
          <w:between w:val="nil"/>
        </w:pBdr>
        <w:spacing w:before="7" w:line="246" w:lineRule="auto"/>
        <w:ind w:left="3" w:right="120" w:firstLine="295"/>
        <w:jc w:val="both"/>
        <w:rPr>
          <w:color w:val="231F20"/>
          <w:sz w:val="19"/>
          <w:szCs w:val="19"/>
        </w:rPr>
      </w:pPr>
      <w:r>
        <w:rPr>
          <w:b/>
          <w:color w:val="231F20"/>
          <w:sz w:val="19"/>
          <w:szCs w:val="19"/>
        </w:rPr>
        <w:t>Мета дослідження</w:t>
      </w:r>
      <w:r>
        <w:rPr>
          <w:color w:val="231F20"/>
          <w:sz w:val="19"/>
          <w:szCs w:val="19"/>
        </w:rPr>
        <w:t xml:space="preserve">: оцінити показники ФЗД  та ДЗЛМВ у пацієнтів із ЛАГ-СЗСТ та порівняти їх  із показниками при інших формах ЛГ. Окрім того,  провести визначення кореляційних зв’язків між  </w:t>
      </w:r>
      <w:r>
        <w:rPr>
          <w:color w:val="231F20"/>
          <w:sz w:val="19"/>
          <w:szCs w:val="19"/>
        </w:rPr>
        <w:lastRenderedPageBreak/>
        <w:t>основними пок</w:t>
      </w:r>
      <w:r>
        <w:rPr>
          <w:color w:val="231F20"/>
          <w:sz w:val="19"/>
          <w:szCs w:val="19"/>
        </w:rPr>
        <w:t xml:space="preserve">азниками ФЗД та ДЗЛМВ та па </w:t>
      </w:r>
    </w:p>
    <w:p w:rsidR="001F332D" w:rsidRDefault="006E68E8">
      <w:pPr>
        <w:widowControl w:val="0"/>
        <w:pBdr>
          <w:top w:val="nil"/>
          <w:left w:val="nil"/>
          <w:bottom w:val="nil"/>
          <w:right w:val="nil"/>
          <w:between w:val="nil"/>
        </w:pBdr>
        <w:spacing w:line="245" w:lineRule="auto"/>
        <w:ind w:left="124" w:right="7" w:firstLine="5"/>
        <w:jc w:val="both"/>
        <w:rPr>
          <w:color w:val="231F20"/>
          <w:sz w:val="19"/>
          <w:szCs w:val="19"/>
        </w:rPr>
      </w:pPr>
      <w:r>
        <w:rPr>
          <w:color w:val="231F20"/>
          <w:sz w:val="19"/>
          <w:szCs w:val="19"/>
        </w:rPr>
        <w:t xml:space="preserve">раметрами, які характеризують функціональний  стан пацієнта та порушення внутрішньосерцевої  гемодинаміки. </w:t>
      </w:r>
    </w:p>
    <w:p w:rsidR="001F332D" w:rsidRDefault="006E68E8">
      <w:pPr>
        <w:widowControl w:val="0"/>
        <w:pBdr>
          <w:top w:val="nil"/>
          <w:left w:val="nil"/>
          <w:bottom w:val="nil"/>
          <w:right w:val="nil"/>
          <w:between w:val="nil"/>
        </w:pBdr>
        <w:spacing w:before="179" w:line="240" w:lineRule="auto"/>
        <w:ind w:left="415"/>
        <w:rPr>
          <w:b/>
          <w:color w:val="485E88"/>
          <w:sz w:val="20"/>
          <w:szCs w:val="20"/>
        </w:rPr>
      </w:pPr>
      <w:r>
        <w:rPr>
          <w:b/>
          <w:color w:val="485E88"/>
          <w:sz w:val="20"/>
          <w:szCs w:val="20"/>
        </w:rPr>
        <w:t xml:space="preserve">МАТЕРІАЛИ ТА МЕТОДИ </w:t>
      </w:r>
    </w:p>
    <w:p w:rsidR="001F332D" w:rsidRDefault="006E68E8">
      <w:pPr>
        <w:widowControl w:val="0"/>
        <w:pBdr>
          <w:top w:val="nil"/>
          <w:left w:val="nil"/>
          <w:bottom w:val="nil"/>
          <w:right w:val="nil"/>
          <w:between w:val="nil"/>
        </w:pBdr>
        <w:spacing w:before="66" w:line="245" w:lineRule="auto"/>
        <w:ind w:left="116" w:right="5"/>
        <w:jc w:val="right"/>
        <w:rPr>
          <w:color w:val="231F20"/>
          <w:sz w:val="19"/>
          <w:szCs w:val="19"/>
        </w:rPr>
        <w:sectPr w:rsidR="001F332D">
          <w:type w:val="continuous"/>
          <w:pgSz w:w="11320" w:h="16040"/>
          <w:pgMar w:top="494" w:right="1069" w:bottom="587" w:left="736" w:header="0" w:footer="720" w:gutter="0"/>
          <w:cols w:num="2" w:space="720" w:equalWidth="0">
            <w:col w:w="4760" w:space="0"/>
            <w:col w:w="4760" w:space="0"/>
          </w:cols>
        </w:sectPr>
      </w:pPr>
      <w:r>
        <w:rPr>
          <w:color w:val="231F20"/>
          <w:sz w:val="19"/>
          <w:szCs w:val="19"/>
        </w:rPr>
        <w:t>У дослідження залучено 60 пацієнтів, які були  госпіталізовані у відділення вторинних та леге невих гіпертензій ДУ «ННЦ «Інститут кардіології,  клінічної та регенеративної медицини імені ака деміка М.Д. Стражеска НАМН України», і яким  після проведення всі</w:t>
      </w:r>
      <w:r>
        <w:rPr>
          <w:color w:val="231F20"/>
          <w:sz w:val="19"/>
          <w:szCs w:val="19"/>
        </w:rPr>
        <w:t xml:space="preserve">х необхідних досліджень  згідно з уніфікованим протоколом з діагностики  та лікування ЛГ [30] та рекомендаціями ESC/ERS  2022 [1], діагностовано ЛАГ або ХТЕЛГ: 15 паці </w:t>
      </w:r>
    </w:p>
    <w:p w:rsidR="001F332D" w:rsidRDefault="006E68E8">
      <w:pPr>
        <w:widowControl w:val="0"/>
        <w:pBdr>
          <w:top w:val="nil"/>
          <w:left w:val="nil"/>
          <w:bottom w:val="nil"/>
          <w:right w:val="nil"/>
          <w:between w:val="nil"/>
        </w:pBdr>
        <w:spacing w:before="156" w:line="240" w:lineRule="auto"/>
        <w:ind w:left="207"/>
        <w:rPr>
          <w:color w:val="485E88"/>
          <w:sz w:val="16"/>
          <w:szCs w:val="16"/>
        </w:rPr>
        <w:sectPr w:rsidR="001F332D">
          <w:type w:val="continuous"/>
          <w:pgSz w:w="11320" w:h="16040"/>
          <w:pgMar w:top="494" w:right="689" w:bottom="587" w:left="733" w:header="0" w:footer="720" w:gutter="0"/>
          <w:cols w:space="720" w:equalWidth="0">
            <w:col w:w="9897" w:space="0"/>
          </w:cols>
        </w:sectPr>
      </w:pPr>
      <w:r>
        <w:rPr>
          <w:color w:val="FFFFFF"/>
          <w:sz w:val="24"/>
          <w:szCs w:val="24"/>
        </w:rPr>
        <w:lastRenderedPageBreak/>
        <w:t xml:space="preserve">4 </w:t>
      </w:r>
      <w:r>
        <w:rPr>
          <w:color w:val="485E88"/>
          <w:sz w:val="16"/>
          <w:szCs w:val="16"/>
        </w:rPr>
        <w:t xml:space="preserve">УКРАЇНСЬКИЙ РЕВМАТОЛОГІЧНИЙ ЖУРНАЛ • № 1 (99) • 2025 </w:t>
      </w:r>
    </w:p>
    <w:p w:rsidR="001F332D" w:rsidRDefault="006E68E8">
      <w:pPr>
        <w:widowControl w:val="0"/>
        <w:pBdr>
          <w:top w:val="nil"/>
          <w:left w:val="nil"/>
          <w:bottom w:val="nil"/>
          <w:right w:val="nil"/>
          <w:between w:val="nil"/>
        </w:pBdr>
        <w:spacing w:before="344" w:line="240" w:lineRule="auto"/>
        <w:ind w:right="130"/>
        <w:jc w:val="right"/>
        <w:rPr>
          <w:b/>
          <w:color w:val="485E88"/>
          <w:sz w:val="16"/>
          <w:szCs w:val="16"/>
        </w:rPr>
      </w:pPr>
      <w:r>
        <w:rPr>
          <w:b/>
          <w:color w:val="485E88"/>
          <w:sz w:val="16"/>
          <w:szCs w:val="16"/>
        </w:rPr>
        <w:lastRenderedPageBreak/>
        <w:t xml:space="preserve">Таблиця 4  </w:t>
      </w:r>
    </w:p>
    <w:p w:rsidR="001F332D" w:rsidRDefault="006E68E8">
      <w:pPr>
        <w:widowControl w:val="0"/>
        <w:pBdr>
          <w:top w:val="nil"/>
          <w:left w:val="nil"/>
          <w:bottom w:val="nil"/>
          <w:right w:val="nil"/>
          <w:between w:val="nil"/>
        </w:pBdr>
        <w:spacing w:line="213" w:lineRule="auto"/>
        <w:ind w:left="290" w:right="409"/>
        <w:jc w:val="center"/>
        <w:rPr>
          <w:b/>
          <w:color w:val="231F20"/>
          <w:sz w:val="16"/>
          <w:szCs w:val="16"/>
        </w:rPr>
      </w:pPr>
      <w:r>
        <w:rPr>
          <w:b/>
          <w:color w:val="231F20"/>
          <w:sz w:val="16"/>
          <w:szCs w:val="16"/>
        </w:rPr>
        <w:t xml:space="preserve">Результати кореляційно-регресійного аналізу* основних  показників газообміну у пацієнтів із ЛГ </w:t>
      </w:r>
    </w:p>
    <w:p w:rsidR="001F332D" w:rsidRDefault="006E68E8">
      <w:pPr>
        <w:widowControl w:val="0"/>
        <w:pBdr>
          <w:top w:val="nil"/>
          <w:left w:val="nil"/>
          <w:bottom w:val="nil"/>
          <w:right w:val="nil"/>
          <w:between w:val="nil"/>
        </w:pBdr>
        <w:spacing w:before="97" w:line="247" w:lineRule="auto"/>
        <w:ind w:left="1517" w:right="406" w:hanging="1482"/>
        <w:rPr>
          <w:b/>
          <w:color w:val="231F20"/>
          <w:sz w:val="9"/>
          <w:szCs w:val="9"/>
        </w:rPr>
      </w:pPr>
      <w:r>
        <w:rPr>
          <w:b/>
          <w:color w:val="231F20"/>
          <w:sz w:val="26"/>
          <w:szCs w:val="26"/>
          <w:vertAlign w:val="subscript"/>
        </w:rPr>
        <w:t xml:space="preserve">Показник </w:t>
      </w:r>
      <w:r>
        <w:rPr>
          <w:b/>
          <w:color w:val="231F20"/>
          <w:sz w:val="16"/>
          <w:szCs w:val="16"/>
        </w:rPr>
        <w:t>ДЗЛМВ, % ЗЄЛ,% r р</w:t>
      </w:r>
      <w:r>
        <w:rPr>
          <w:b/>
          <w:color w:val="231F20"/>
          <w:sz w:val="15"/>
          <w:szCs w:val="15"/>
          <w:vertAlign w:val="subscript"/>
        </w:rPr>
        <w:t xml:space="preserve">1 </w:t>
      </w:r>
      <w:r>
        <w:rPr>
          <w:b/>
          <w:color w:val="231F20"/>
          <w:sz w:val="16"/>
          <w:szCs w:val="16"/>
        </w:rPr>
        <w:t>p</w:t>
      </w:r>
      <w:r>
        <w:rPr>
          <w:b/>
          <w:color w:val="231F20"/>
          <w:sz w:val="15"/>
          <w:szCs w:val="15"/>
          <w:vertAlign w:val="subscript"/>
        </w:rPr>
        <w:t xml:space="preserve">2 </w:t>
      </w:r>
      <w:r>
        <w:rPr>
          <w:b/>
          <w:color w:val="231F20"/>
          <w:sz w:val="16"/>
          <w:szCs w:val="16"/>
        </w:rPr>
        <w:t>r р</w:t>
      </w:r>
      <w:r>
        <w:rPr>
          <w:b/>
          <w:color w:val="231F20"/>
          <w:sz w:val="15"/>
          <w:szCs w:val="15"/>
          <w:vertAlign w:val="subscript"/>
        </w:rPr>
        <w:t xml:space="preserve">1 </w:t>
      </w:r>
      <w:r>
        <w:rPr>
          <w:b/>
          <w:color w:val="231F20"/>
          <w:sz w:val="16"/>
          <w:szCs w:val="16"/>
        </w:rPr>
        <w:t>p</w:t>
      </w:r>
      <w:r>
        <w:rPr>
          <w:b/>
          <w:color w:val="231F20"/>
          <w:sz w:val="15"/>
          <w:szCs w:val="15"/>
          <w:vertAlign w:val="subscript"/>
        </w:rPr>
        <w:t>2</w:t>
      </w:r>
      <w:r>
        <w:rPr>
          <w:b/>
          <w:color w:val="231F20"/>
          <w:sz w:val="9"/>
          <w:szCs w:val="9"/>
        </w:rPr>
        <w:t xml:space="preserve"> </w:t>
      </w:r>
    </w:p>
    <w:p w:rsidR="001F332D" w:rsidRDefault="006E68E8">
      <w:pPr>
        <w:widowControl w:val="0"/>
        <w:pBdr>
          <w:top w:val="nil"/>
          <w:left w:val="nil"/>
          <w:bottom w:val="nil"/>
          <w:right w:val="nil"/>
          <w:between w:val="nil"/>
        </w:pBdr>
        <w:spacing w:line="237" w:lineRule="auto"/>
        <w:ind w:left="24" w:right="300" w:firstLine="9"/>
        <w:rPr>
          <w:color w:val="231F20"/>
          <w:sz w:val="16"/>
          <w:szCs w:val="16"/>
        </w:rPr>
      </w:pPr>
      <w:r>
        <w:rPr>
          <w:color w:val="231F20"/>
          <w:sz w:val="16"/>
          <w:szCs w:val="16"/>
        </w:rPr>
        <w:t>Вік, роки –0,269 0,037* 0,745 –0,197 0,132 НЗ Маса тіла, кг 0,200 0,125 НЗ 0,138 0,294 НЗ SpO</w:t>
      </w:r>
      <w:r>
        <w:rPr>
          <w:color w:val="231F20"/>
          <w:sz w:val="15"/>
          <w:szCs w:val="15"/>
          <w:vertAlign w:val="subscript"/>
        </w:rPr>
        <w:t>2</w:t>
      </w:r>
      <w:r>
        <w:rPr>
          <w:color w:val="231F20"/>
          <w:sz w:val="16"/>
          <w:szCs w:val="16"/>
        </w:rPr>
        <w:t xml:space="preserve">, % 0,534 &lt;0,001* 0,072 0,337 0,832 Дистанція 6ХТ, м 0,315 0,017* 0,009* 0,220 0,100 НЗ Гемоглобін, г/л 0,084 0,527 НЗ –0,041 0,759 НЗ N-КМНУП, пг/мл –0,257 0,051 НЗ –0,078 0,558 НЗ </w:t>
      </w:r>
    </w:p>
    <w:p w:rsidR="001F332D" w:rsidRDefault="006E68E8">
      <w:pPr>
        <w:widowControl w:val="0"/>
        <w:pBdr>
          <w:top w:val="nil"/>
          <w:left w:val="nil"/>
          <w:bottom w:val="nil"/>
          <w:right w:val="nil"/>
          <w:between w:val="nil"/>
        </w:pBdr>
        <w:spacing w:before="12" w:line="241" w:lineRule="auto"/>
        <w:ind w:left="23" w:right="266" w:firstLine="10"/>
        <w:rPr>
          <w:color w:val="231F20"/>
          <w:sz w:val="16"/>
          <w:szCs w:val="16"/>
        </w:rPr>
      </w:pPr>
      <w:r>
        <w:rPr>
          <w:color w:val="231F20"/>
          <w:sz w:val="16"/>
          <w:szCs w:val="16"/>
        </w:rPr>
        <w:t xml:space="preserve">Індекс ПП, мл/м2 –0,085 0,535 НЗ –0,294 0,028* 0,003* </w:t>
      </w:r>
      <w:r>
        <w:rPr>
          <w:color w:val="231F20"/>
          <w:sz w:val="16"/>
          <w:szCs w:val="16"/>
        </w:rPr>
        <w:lastRenderedPageBreak/>
        <w:t>TAPSE, мм 0,146 0,2</w:t>
      </w:r>
      <w:r>
        <w:rPr>
          <w:color w:val="231F20"/>
          <w:sz w:val="16"/>
          <w:szCs w:val="16"/>
        </w:rPr>
        <w:t>64 НЗ 0,163 0,214 НЗ СерТЛА, мм рт. ст. 0,305 0,028* 0,040* 0,063 0,658 НЗ СТПШ, мм рт. ст. 0,400 0,004* 0,002* 0,105 0,473 НЗ ЗЛО, од. Вуда 0,119 0,435 НЗ 0,023 0,879 НЗ SaО2, % 0,222 0,125 НЗ 0,183 0,208 НЗ Наявність ВВС 0,238 0,067 НЗ –0,057 0,667 НЗ На</w:t>
      </w:r>
      <w:r>
        <w:rPr>
          <w:color w:val="231F20"/>
          <w:sz w:val="16"/>
          <w:szCs w:val="16"/>
        </w:rPr>
        <w:t xml:space="preserve">явність СС –0,597 &lt;0,001* &lt;0,001* –0,302 0,019* 0,006* Тест ANOVA p=0,037 p=0,002 </w:t>
      </w:r>
    </w:p>
    <w:p w:rsidR="001F332D" w:rsidRDefault="006E68E8">
      <w:pPr>
        <w:widowControl w:val="0"/>
        <w:pBdr>
          <w:top w:val="nil"/>
          <w:left w:val="nil"/>
          <w:bottom w:val="nil"/>
          <w:right w:val="nil"/>
          <w:between w:val="nil"/>
        </w:pBdr>
        <w:spacing w:before="200" w:line="220" w:lineRule="auto"/>
        <w:ind w:right="128" w:firstLine="8"/>
        <w:rPr>
          <w:color w:val="231F20"/>
          <w:sz w:val="17"/>
          <w:szCs w:val="17"/>
        </w:rPr>
      </w:pPr>
      <w:r>
        <w:rPr>
          <w:color w:val="231F20"/>
          <w:sz w:val="17"/>
          <w:szCs w:val="17"/>
        </w:rPr>
        <w:t>*У таблиці представлено лише показники, які мали статистично зна чущу кореляцію; р</w:t>
      </w:r>
      <w:r>
        <w:rPr>
          <w:color w:val="231F20"/>
          <w:sz w:val="16"/>
          <w:szCs w:val="16"/>
          <w:vertAlign w:val="subscript"/>
        </w:rPr>
        <w:t xml:space="preserve">1 </w:t>
      </w:r>
      <w:r>
        <w:rPr>
          <w:color w:val="231F20"/>
          <w:sz w:val="17"/>
          <w:szCs w:val="17"/>
        </w:rPr>
        <w:t>— статистична значущість кореляційного зв’язку;  р</w:t>
      </w:r>
      <w:r>
        <w:rPr>
          <w:color w:val="231F20"/>
          <w:sz w:val="16"/>
          <w:szCs w:val="16"/>
          <w:vertAlign w:val="subscript"/>
        </w:rPr>
        <w:t xml:space="preserve">2 </w:t>
      </w:r>
      <w:r>
        <w:rPr>
          <w:color w:val="231F20"/>
          <w:sz w:val="17"/>
          <w:szCs w:val="17"/>
        </w:rPr>
        <w:t xml:space="preserve">— статистична значущість мультифакторного регресійного аналізу. </w:t>
      </w:r>
      <w:r>
        <w:rPr>
          <w:i/>
          <w:color w:val="231F20"/>
          <w:sz w:val="17"/>
          <w:szCs w:val="17"/>
        </w:rPr>
        <w:t xml:space="preserve">Примітки: </w:t>
      </w:r>
      <w:r>
        <w:rPr>
          <w:color w:val="231F20"/>
          <w:sz w:val="17"/>
          <w:szCs w:val="17"/>
        </w:rPr>
        <w:t xml:space="preserve">НЗ — не значущо; 6ХТ — тест 6-хвилинної </w:t>
      </w:r>
      <w:r>
        <w:rPr>
          <w:color w:val="231F20"/>
          <w:sz w:val="17"/>
          <w:szCs w:val="17"/>
        </w:rPr>
        <w:lastRenderedPageBreak/>
        <w:t>ходьби;  N-КМНУП — N-кінцевий мозковий натрійуретичний пропептид; ПП —  праве передсердя; TAPSE — систолічна екскурсія площини кільця  трикусп</w:t>
      </w:r>
      <w:r>
        <w:rPr>
          <w:color w:val="231F20"/>
          <w:sz w:val="17"/>
          <w:szCs w:val="17"/>
        </w:rPr>
        <w:t>ідального клапана; СТПШ — систолічний тиск у правому шлу ночку; СерТПШ — середній тиск у правому шлуночку; ЗЛО — загаль ний легеневий опір; SaО</w:t>
      </w:r>
      <w:r>
        <w:rPr>
          <w:color w:val="231F20"/>
          <w:sz w:val="16"/>
          <w:szCs w:val="16"/>
          <w:vertAlign w:val="subscript"/>
        </w:rPr>
        <w:t xml:space="preserve">2 </w:t>
      </w:r>
      <w:r>
        <w:rPr>
          <w:color w:val="231F20"/>
          <w:sz w:val="17"/>
          <w:szCs w:val="17"/>
        </w:rPr>
        <w:t>— насичення киснем артеріальної крові;  ВВС — вроджена вада серця; СС — системний склероз; ANOVA —  дисперсійни</w:t>
      </w:r>
      <w:r>
        <w:rPr>
          <w:color w:val="231F20"/>
          <w:sz w:val="17"/>
          <w:szCs w:val="17"/>
        </w:rPr>
        <w:t xml:space="preserve">й аналіз. </w:t>
      </w:r>
    </w:p>
    <w:p w:rsidR="001F332D" w:rsidRDefault="006E68E8">
      <w:pPr>
        <w:widowControl w:val="0"/>
        <w:pBdr>
          <w:top w:val="nil"/>
          <w:left w:val="nil"/>
          <w:bottom w:val="nil"/>
          <w:right w:val="nil"/>
          <w:between w:val="nil"/>
        </w:pBdr>
        <w:spacing w:before="180" w:line="244" w:lineRule="auto"/>
        <w:ind w:left="6" w:right="122" w:firstLine="2"/>
        <w:rPr>
          <w:color w:val="231F20"/>
          <w:sz w:val="19"/>
          <w:szCs w:val="19"/>
        </w:rPr>
      </w:pPr>
      <w:r>
        <w:rPr>
          <w:color w:val="231F20"/>
          <w:sz w:val="19"/>
          <w:szCs w:val="19"/>
        </w:rPr>
        <w:t xml:space="preserve">єнтів з ІЛАГ, 15 — з ЛАГ-ВВС, 15 — із ХТЕЛГ, 15 —  з ЛАГ-СЗСТ. </w:t>
      </w:r>
    </w:p>
    <w:p w:rsidR="001F332D" w:rsidRDefault="006E68E8">
      <w:pPr>
        <w:widowControl w:val="0"/>
        <w:pBdr>
          <w:top w:val="nil"/>
          <w:left w:val="nil"/>
          <w:bottom w:val="nil"/>
          <w:right w:val="nil"/>
          <w:between w:val="nil"/>
        </w:pBdr>
        <w:spacing w:before="7" w:line="244" w:lineRule="auto"/>
        <w:ind w:right="123" w:firstLine="299"/>
        <w:rPr>
          <w:color w:val="231F20"/>
          <w:sz w:val="19"/>
          <w:szCs w:val="19"/>
        </w:rPr>
      </w:pPr>
      <w:r>
        <w:rPr>
          <w:color w:val="231F20"/>
          <w:sz w:val="19"/>
          <w:szCs w:val="19"/>
        </w:rPr>
        <w:t>Вказані групи пацієнтів були статистично зі ставними між собою за віком, зростом, статтю,  масою та індексом маси тіла (</w:t>
      </w:r>
      <w:r>
        <w:rPr>
          <w:color w:val="485E88"/>
          <w:sz w:val="19"/>
          <w:szCs w:val="19"/>
        </w:rPr>
        <w:t>табл. 2</w:t>
      </w:r>
      <w:r>
        <w:rPr>
          <w:color w:val="231F20"/>
          <w:sz w:val="19"/>
          <w:szCs w:val="19"/>
        </w:rPr>
        <w:t>). Усі паці єнти перед визначенням ФЗД та ДЗЛМВ були  компенсовані, перебували в еуволюмічному ста ні та не приймали специфічної терапії ЛГ. У гру пу ЛАГ-ВВС увійшли пацієнти, у яких вада серця  не була коригована (вперше виявлена або визна на неоперабельн</w:t>
      </w:r>
      <w:r>
        <w:rPr>
          <w:color w:val="231F20"/>
          <w:sz w:val="19"/>
          <w:szCs w:val="19"/>
        </w:rPr>
        <w:t>ою через високий тиск у легене вій артерії). Критеріями незалучення були клінічно  значущі супутні захворювання (хронічна хвороба  нирок 3–4-ї стадії, значуща дисфункція печінки,  декомпенсований цукровий діабет, психічні роз лади, скелетно-м’язові порушен</w:t>
      </w:r>
      <w:r>
        <w:rPr>
          <w:color w:val="231F20"/>
          <w:sz w:val="19"/>
          <w:szCs w:val="19"/>
        </w:rPr>
        <w:t xml:space="preserve">ня розвитку груд ної клітки). </w:t>
      </w:r>
    </w:p>
    <w:p w:rsidR="001F332D" w:rsidRDefault="006E68E8">
      <w:pPr>
        <w:widowControl w:val="0"/>
        <w:pBdr>
          <w:top w:val="nil"/>
          <w:left w:val="nil"/>
          <w:bottom w:val="nil"/>
          <w:right w:val="nil"/>
          <w:between w:val="nil"/>
        </w:pBdr>
        <w:spacing w:before="7" w:line="244" w:lineRule="auto"/>
        <w:ind w:right="123" w:firstLine="285"/>
        <w:jc w:val="both"/>
        <w:rPr>
          <w:color w:val="231F20"/>
          <w:sz w:val="19"/>
          <w:szCs w:val="19"/>
        </w:rPr>
      </w:pPr>
      <w:r>
        <w:rPr>
          <w:color w:val="231F20"/>
          <w:sz w:val="19"/>
          <w:szCs w:val="19"/>
        </w:rPr>
        <w:t xml:space="preserve">Усім пацієнтам проводилися тест 6-хвилинної  ходьби (6-ХТ), спірометрія, визначення ДЗЛМВ та  газів у крові, аналіз крові на N-кінцевий мозковий  натрійуретичний пептид (N-КМНУП), ехокардіо </w:t>
      </w:r>
    </w:p>
    <w:p w:rsidR="001F332D" w:rsidRDefault="006E68E8">
      <w:pPr>
        <w:widowControl w:val="0"/>
        <w:pBdr>
          <w:top w:val="nil"/>
          <w:left w:val="nil"/>
          <w:bottom w:val="nil"/>
          <w:right w:val="nil"/>
          <w:between w:val="nil"/>
        </w:pBdr>
        <w:spacing w:before="7" w:line="240" w:lineRule="auto"/>
        <w:ind w:left="13"/>
        <w:rPr>
          <w:color w:val="231F20"/>
          <w:sz w:val="19"/>
          <w:szCs w:val="19"/>
        </w:rPr>
      </w:pPr>
      <w:r>
        <w:rPr>
          <w:color w:val="231F20"/>
          <w:sz w:val="19"/>
          <w:szCs w:val="19"/>
        </w:rPr>
        <w:t xml:space="preserve">графія (ЕхоКГ) та КПС. </w:t>
      </w:r>
    </w:p>
    <w:p w:rsidR="001F332D" w:rsidRDefault="006E68E8">
      <w:pPr>
        <w:widowControl w:val="0"/>
        <w:pBdr>
          <w:top w:val="nil"/>
          <w:left w:val="nil"/>
          <w:bottom w:val="nil"/>
          <w:right w:val="nil"/>
          <w:between w:val="nil"/>
        </w:pBdr>
        <w:spacing w:before="11" w:line="244" w:lineRule="auto"/>
        <w:ind w:left="8" w:right="122" w:firstLine="283"/>
        <w:rPr>
          <w:color w:val="231F20"/>
          <w:sz w:val="19"/>
          <w:szCs w:val="19"/>
        </w:rPr>
      </w:pPr>
      <w:r>
        <w:rPr>
          <w:color w:val="231F20"/>
          <w:sz w:val="19"/>
          <w:szCs w:val="19"/>
        </w:rPr>
        <w:t xml:space="preserve">6-ХТ проводився за стандартною методи кою, базуючись на протоколі Американсько го торакального товариства (American Thoracic  Society) [31]. Визначали дистанцію, яку паці єнт проходить протягом 6 хв, та ступінь задиш ки за Borg. </w:t>
      </w:r>
    </w:p>
    <w:p w:rsidR="001F332D" w:rsidRDefault="006E68E8">
      <w:pPr>
        <w:widowControl w:val="0"/>
        <w:pBdr>
          <w:top w:val="nil"/>
          <w:left w:val="nil"/>
          <w:bottom w:val="nil"/>
          <w:right w:val="nil"/>
          <w:between w:val="nil"/>
        </w:pBdr>
        <w:spacing w:before="7" w:line="244" w:lineRule="auto"/>
        <w:ind w:left="2" w:right="123"/>
        <w:jc w:val="right"/>
        <w:rPr>
          <w:color w:val="231F20"/>
          <w:sz w:val="19"/>
          <w:szCs w:val="19"/>
        </w:rPr>
      </w:pPr>
      <w:r>
        <w:rPr>
          <w:color w:val="231F20"/>
          <w:sz w:val="19"/>
          <w:szCs w:val="19"/>
        </w:rPr>
        <w:t xml:space="preserve">Зразки для визначення рівня НКМНУП брали  вранці натще з плазми венозної крові, транспор тували у вакутайнерах із літій-гепарином і гелем,  </w:t>
      </w:r>
    </w:p>
    <w:p w:rsidR="001F332D" w:rsidRDefault="006E68E8">
      <w:pPr>
        <w:widowControl w:val="0"/>
        <w:pBdr>
          <w:top w:val="nil"/>
          <w:left w:val="nil"/>
          <w:bottom w:val="nil"/>
          <w:right w:val="nil"/>
          <w:between w:val="nil"/>
        </w:pBdr>
        <w:spacing w:line="240" w:lineRule="auto"/>
        <w:ind w:right="72"/>
        <w:jc w:val="right"/>
        <w:rPr>
          <w:color w:val="485E88"/>
          <w:sz w:val="24"/>
          <w:szCs w:val="24"/>
        </w:rPr>
      </w:pPr>
      <w:r>
        <w:rPr>
          <w:color w:val="485E88"/>
          <w:sz w:val="24"/>
          <w:szCs w:val="24"/>
        </w:rPr>
        <w:t>ВЛАСНІ СПОСТЕРЕЖЕННЯ</w:t>
      </w:r>
    </w:p>
    <w:p w:rsidR="001F332D" w:rsidRDefault="006E68E8">
      <w:pPr>
        <w:widowControl w:val="0"/>
        <w:pBdr>
          <w:top w:val="nil"/>
          <w:left w:val="nil"/>
          <w:bottom w:val="nil"/>
          <w:right w:val="nil"/>
          <w:between w:val="nil"/>
        </w:pBdr>
        <w:spacing w:before="75" w:line="245" w:lineRule="auto"/>
        <w:ind w:left="129" w:right="8"/>
        <w:rPr>
          <w:color w:val="231F20"/>
          <w:sz w:val="19"/>
          <w:szCs w:val="19"/>
        </w:rPr>
      </w:pPr>
      <w:r>
        <w:rPr>
          <w:color w:val="231F20"/>
          <w:sz w:val="19"/>
          <w:szCs w:val="19"/>
        </w:rPr>
        <w:t>після центрифугування, у холодильнику у темпе ратурному режимі 2–25 °С, та надалі обробляли  м</w:t>
      </w:r>
      <w:r>
        <w:rPr>
          <w:color w:val="231F20"/>
          <w:sz w:val="19"/>
          <w:szCs w:val="19"/>
        </w:rPr>
        <w:t xml:space="preserve">етодом хемілюмінесцентного аналізу. </w:t>
      </w:r>
    </w:p>
    <w:p w:rsidR="001F332D" w:rsidRDefault="006E68E8">
      <w:pPr>
        <w:widowControl w:val="0"/>
        <w:pBdr>
          <w:top w:val="nil"/>
          <w:left w:val="nil"/>
          <w:bottom w:val="nil"/>
          <w:right w:val="nil"/>
          <w:between w:val="nil"/>
        </w:pBdr>
        <w:spacing w:before="7" w:line="245" w:lineRule="auto"/>
        <w:ind w:left="115" w:right="4" w:firstLine="299"/>
        <w:rPr>
          <w:color w:val="231F20"/>
          <w:sz w:val="19"/>
          <w:szCs w:val="19"/>
        </w:rPr>
      </w:pPr>
      <w:r>
        <w:rPr>
          <w:color w:val="231F20"/>
          <w:sz w:val="19"/>
          <w:szCs w:val="19"/>
        </w:rPr>
        <w:t>ЕхоКГ обстеження пацієнтів проводилося  на апараті Aplio Artida SSH-880 CV (Toshiba, Япо нія) з використанням секторального датчика PST 30ВТ (2–4 МГц). Протокол включав визначення  та обчислення параметрів, рекомендованих для  оцінки за останніми рекоменда</w:t>
      </w:r>
      <w:r>
        <w:rPr>
          <w:color w:val="231F20"/>
          <w:sz w:val="19"/>
          <w:szCs w:val="19"/>
        </w:rPr>
        <w:t xml:space="preserve">ціями ESC/ERS  2022: площа правого передсердя (ПП), співвідно шення базальних розмірів правого та лівого шлу </w:t>
      </w:r>
      <w:r>
        <w:rPr>
          <w:color w:val="231F20"/>
          <w:sz w:val="19"/>
          <w:szCs w:val="19"/>
        </w:rPr>
        <w:lastRenderedPageBreak/>
        <w:t>ночка (ПШ/ЛШ), екскурсія кільця трикуспідально го клапана (TAPSE — tricuspid annular plane systolic  excursion), пікова систолічна швидкість руху т</w:t>
      </w:r>
      <w:r>
        <w:rPr>
          <w:color w:val="231F20"/>
          <w:sz w:val="19"/>
          <w:szCs w:val="19"/>
        </w:rPr>
        <w:t>ри куспідального кільця (S’), визначена за допомо гою тканинної допплерографії, швидкість регур гітації на трикуспідальному клапані, розмір та  колабування нижньої порожнистої вени (НПВ),  систолічний тиск на легеневій артерії (СТЛА), ін декс ексцентричнос</w:t>
      </w:r>
      <w:r>
        <w:rPr>
          <w:color w:val="231F20"/>
          <w:sz w:val="19"/>
          <w:szCs w:val="19"/>
        </w:rPr>
        <w:t xml:space="preserve">ті лівого шлуночка під час сис толи та діастоли, а також наявність чи відсутність  перикардіального випоту [1]. </w:t>
      </w:r>
    </w:p>
    <w:p w:rsidR="001F332D" w:rsidRDefault="006E68E8">
      <w:pPr>
        <w:widowControl w:val="0"/>
        <w:pBdr>
          <w:top w:val="nil"/>
          <w:left w:val="nil"/>
          <w:bottom w:val="nil"/>
          <w:right w:val="nil"/>
          <w:between w:val="nil"/>
        </w:pBdr>
        <w:spacing w:before="7" w:line="245" w:lineRule="auto"/>
        <w:ind w:left="115" w:right="6" w:firstLine="300"/>
        <w:rPr>
          <w:color w:val="231F20"/>
          <w:sz w:val="19"/>
          <w:szCs w:val="19"/>
        </w:rPr>
      </w:pPr>
      <w:r>
        <w:rPr>
          <w:color w:val="231F20"/>
          <w:sz w:val="19"/>
          <w:szCs w:val="19"/>
        </w:rPr>
        <w:t>КПС проводилася за стандартним протоколом  із вимірюванням тиску у правому передсерді та  шлуночку, ЛА та ТЗЛА. Для оцінки газового скла ду кро</w:t>
      </w:r>
      <w:r>
        <w:rPr>
          <w:color w:val="231F20"/>
          <w:sz w:val="19"/>
          <w:szCs w:val="19"/>
        </w:rPr>
        <w:t xml:space="preserve">ві брали зразки із ЛА, стегнової артерії та,  за необхідності, із верхньої та нижньої порожнис тої вени. Оцінка гемодинаміки включала вимірю вання методом термодилюції хвилинного об’єму  крові (ХОК) з використанням термодилюційного  катетера Свана — Ганца </w:t>
      </w:r>
      <w:r>
        <w:rPr>
          <w:color w:val="231F20"/>
          <w:sz w:val="19"/>
          <w:szCs w:val="19"/>
        </w:rPr>
        <w:t>(Edwards LifeSciences,  Argon, США, або B. Braun, Німеччина) розміром  7F та реанімаційно-хірургічного монітора ЮМ  300 І15 виробництва «Ютас» (Україна) із вбудо ваними електронними блоками інвазивного ви мірювання артеріального тиску (АТ) та термоди люції</w:t>
      </w:r>
      <w:r>
        <w:rPr>
          <w:color w:val="231F20"/>
          <w:sz w:val="19"/>
          <w:szCs w:val="19"/>
        </w:rPr>
        <w:t>, з наступною калькуляцією серцевого індек су (СІ), ударного об’єму (УО), ударного індексу  (УІ), ОЛС, загального легеневого опору (ЗЛО) та  системного судинного опору (ССО) [1]. У пацієн тів із ЛАГ-ВВС ХОК визначали за допомогою ме тоду Фіка після прямого</w:t>
      </w:r>
      <w:r>
        <w:rPr>
          <w:color w:val="231F20"/>
          <w:sz w:val="19"/>
          <w:szCs w:val="19"/>
        </w:rPr>
        <w:t xml:space="preserve"> визначення мінімально го поглинання кисню за допомогою системи для  комплексної оцінки легеневої функції ErgostikTM  (Geratherm Respiratory, Німеччина) та програмно го забезпечення Blue Cherry V1.3.2.0 (Geratherm  Respiratory, Німеччина). </w:t>
      </w:r>
    </w:p>
    <w:p w:rsidR="001F332D" w:rsidRDefault="006E68E8">
      <w:pPr>
        <w:widowControl w:val="0"/>
        <w:pBdr>
          <w:top w:val="nil"/>
          <w:left w:val="nil"/>
          <w:bottom w:val="nil"/>
          <w:right w:val="nil"/>
          <w:between w:val="nil"/>
        </w:pBdr>
        <w:spacing w:before="7" w:line="245" w:lineRule="auto"/>
        <w:ind w:left="115" w:right="5" w:firstLine="299"/>
        <w:jc w:val="both"/>
        <w:rPr>
          <w:color w:val="231F20"/>
          <w:sz w:val="19"/>
          <w:szCs w:val="19"/>
        </w:rPr>
      </w:pPr>
      <w:r>
        <w:rPr>
          <w:color w:val="231F20"/>
          <w:sz w:val="19"/>
          <w:szCs w:val="19"/>
        </w:rPr>
        <w:t>Вимірювання вел</w:t>
      </w:r>
      <w:r>
        <w:rPr>
          <w:color w:val="231F20"/>
          <w:sz w:val="19"/>
          <w:szCs w:val="19"/>
        </w:rPr>
        <w:t>ичин параметрів ФЗД та  ДЗЛМВ проводили за допомогою спірометра  з дифузією Diffustik</w:t>
      </w:r>
      <w:r>
        <w:rPr>
          <w:color w:val="231F20"/>
          <w:sz w:val="18"/>
          <w:szCs w:val="18"/>
          <w:vertAlign w:val="superscript"/>
        </w:rPr>
        <w:t>TM</w:t>
      </w:r>
      <w:r>
        <w:rPr>
          <w:color w:val="231F20"/>
          <w:sz w:val="11"/>
          <w:szCs w:val="11"/>
        </w:rPr>
        <w:t xml:space="preserve"> </w:t>
      </w:r>
      <w:r>
        <w:rPr>
          <w:color w:val="231F20"/>
          <w:sz w:val="19"/>
          <w:szCs w:val="19"/>
        </w:rPr>
        <w:t xml:space="preserve">(Geratherm Respiratory,  Німеччина) та програмного забезпечення Blue  Cherry V1.3.2.0 (Geratherm Respiratory, Німеч </w:t>
      </w:r>
    </w:p>
    <w:p w:rsidR="001F332D" w:rsidRDefault="006E68E8">
      <w:pPr>
        <w:widowControl w:val="0"/>
        <w:pBdr>
          <w:top w:val="nil"/>
          <w:left w:val="nil"/>
          <w:bottom w:val="nil"/>
          <w:right w:val="nil"/>
          <w:between w:val="nil"/>
        </w:pBdr>
        <w:spacing w:before="7" w:line="233" w:lineRule="auto"/>
        <w:ind w:left="115" w:right="7" w:firstLine="8"/>
        <w:rPr>
          <w:color w:val="231F20"/>
          <w:sz w:val="19"/>
          <w:szCs w:val="19"/>
        </w:rPr>
        <w:sectPr w:rsidR="001F332D">
          <w:type w:val="continuous"/>
          <w:pgSz w:w="11320" w:h="16040"/>
          <w:pgMar w:top="494" w:right="670" w:bottom="587" w:left="1133" w:header="0" w:footer="720" w:gutter="0"/>
          <w:cols w:num="2" w:space="720" w:equalWidth="0">
            <w:col w:w="4760" w:space="0"/>
            <w:col w:w="4760" w:space="0"/>
          </w:cols>
        </w:sectPr>
      </w:pPr>
      <w:r>
        <w:rPr>
          <w:color w:val="231F20"/>
          <w:sz w:val="19"/>
          <w:szCs w:val="19"/>
        </w:rPr>
        <w:t>чина). Оцінювали такі показники: ЖЄЛ, ФЖЄЛ,  ОФВ</w:t>
      </w:r>
      <w:r>
        <w:rPr>
          <w:color w:val="231F20"/>
          <w:sz w:val="18"/>
          <w:szCs w:val="18"/>
          <w:vertAlign w:val="subscript"/>
        </w:rPr>
        <w:t>1</w:t>
      </w:r>
      <w:r>
        <w:rPr>
          <w:color w:val="231F20"/>
          <w:sz w:val="19"/>
          <w:szCs w:val="19"/>
        </w:rPr>
        <w:t>, ПШВ, максимальні об’ємні швидкості ви диху (МОШ-75, МОШ-50, МОШ-25), ДЗЛМВ, за гальну ємність легень (ЗЄЛ). У разі зниження рів нів показників, що характеризують обструктивні  зміни (ОФВ</w:t>
      </w:r>
      <w:r>
        <w:rPr>
          <w:color w:val="231F20"/>
          <w:sz w:val="18"/>
          <w:szCs w:val="18"/>
          <w:vertAlign w:val="subscript"/>
        </w:rPr>
        <w:t>1</w:t>
      </w:r>
      <w:r>
        <w:rPr>
          <w:color w:val="231F20"/>
          <w:sz w:val="19"/>
          <w:szCs w:val="19"/>
        </w:rPr>
        <w:t xml:space="preserve">, МОШ-75, МОШ-50, </w:t>
      </w:r>
      <w:r>
        <w:rPr>
          <w:color w:val="231F20"/>
          <w:sz w:val="19"/>
          <w:szCs w:val="19"/>
        </w:rPr>
        <w:t xml:space="preserve">МОШ-25) додат ково проводили бронходилатаційну пробу із саль бутамолом для подальшого визначення їх зворот ності чи незворотності. </w:t>
      </w:r>
    </w:p>
    <w:p w:rsidR="001F332D" w:rsidRDefault="006E68E8">
      <w:pPr>
        <w:widowControl w:val="0"/>
        <w:pBdr>
          <w:top w:val="nil"/>
          <w:left w:val="nil"/>
          <w:bottom w:val="nil"/>
          <w:right w:val="nil"/>
          <w:between w:val="nil"/>
        </w:pBdr>
        <w:spacing w:before="164" w:line="240" w:lineRule="auto"/>
        <w:ind w:right="237"/>
        <w:jc w:val="right"/>
        <w:rPr>
          <w:color w:val="FFFFFF"/>
          <w:sz w:val="24"/>
          <w:szCs w:val="24"/>
        </w:rPr>
        <w:sectPr w:rsidR="001F332D">
          <w:type w:val="continuous"/>
          <w:pgSz w:w="11320" w:h="16040"/>
          <w:pgMar w:top="494" w:right="689" w:bottom="587" w:left="733" w:header="0" w:footer="720" w:gutter="0"/>
          <w:cols w:space="720" w:equalWidth="0">
            <w:col w:w="9897" w:space="0"/>
          </w:cols>
        </w:sectPr>
      </w:pPr>
      <w:r>
        <w:rPr>
          <w:color w:val="485E88"/>
          <w:sz w:val="26"/>
          <w:szCs w:val="26"/>
          <w:vertAlign w:val="superscript"/>
        </w:rPr>
        <w:lastRenderedPageBreak/>
        <w:t xml:space="preserve">УКРАЇНСЬКИЙ РЕВМАТОЛОГІЧНИЙ ЖУРНАЛ • № 1 (99) • 2025 </w:t>
      </w:r>
      <w:r>
        <w:rPr>
          <w:color w:val="FFFFFF"/>
          <w:sz w:val="24"/>
          <w:szCs w:val="24"/>
        </w:rPr>
        <w:t xml:space="preserve">5 </w:t>
      </w:r>
    </w:p>
    <w:p w:rsidR="001F332D" w:rsidRDefault="006E68E8">
      <w:pPr>
        <w:widowControl w:val="0"/>
        <w:pBdr>
          <w:top w:val="nil"/>
          <w:left w:val="nil"/>
          <w:bottom w:val="nil"/>
          <w:right w:val="nil"/>
          <w:between w:val="nil"/>
        </w:pBdr>
        <w:spacing w:line="240" w:lineRule="auto"/>
        <w:ind w:left="18"/>
        <w:rPr>
          <w:color w:val="485E88"/>
          <w:sz w:val="24"/>
          <w:szCs w:val="24"/>
        </w:rPr>
      </w:pPr>
      <w:r>
        <w:rPr>
          <w:color w:val="485E88"/>
          <w:sz w:val="24"/>
          <w:szCs w:val="24"/>
        </w:rPr>
        <w:lastRenderedPageBreak/>
        <w:t>ВЛАСНІ СПОСТЕРЕЖЕННЯ</w:t>
      </w:r>
    </w:p>
    <w:p w:rsidR="001F332D" w:rsidRDefault="006E68E8">
      <w:pPr>
        <w:widowControl w:val="0"/>
        <w:pBdr>
          <w:top w:val="nil"/>
          <w:left w:val="nil"/>
          <w:bottom w:val="nil"/>
          <w:right w:val="nil"/>
          <w:between w:val="nil"/>
        </w:pBdr>
        <w:spacing w:before="75" w:line="241" w:lineRule="auto"/>
        <w:ind w:left="3" w:right="123" w:firstLine="297"/>
        <w:rPr>
          <w:color w:val="231F20"/>
          <w:sz w:val="19"/>
          <w:szCs w:val="19"/>
        </w:rPr>
      </w:pPr>
      <w:r>
        <w:rPr>
          <w:color w:val="231F20"/>
          <w:sz w:val="19"/>
          <w:szCs w:val="19"/>
        </w:rPr>
        <w:t>Було створено єдину базу даних пацієнтів, за лучених у дослідження. Статистичний аналіз вико нувався за допомогою статистичного пакета для  соціальних наук (IBM SPSS Statistics, версія 27.0,  SPSS Inc., США). Усі досліджувані показники були  відображені як</w:t>
      </w:r>
      <w:r>
        <w:rPr>
          <w:color w:val="231F20"/>
          <w:sz w:val="19"/>
          <w:szCs w:val="19"/>
        </w:rPr>
        <w:t xml:space="preserve"> частка у відсотках або як середнє  значення і середньоквадратична похибка (СКП).  Проведено оцінку відмінностей між групами за до помогою t-критерію незалежної вибірки та оцін ку асоціацій між показниками, що вимірювали ся, за допомогою кореляційного анал</w:t>
      </w:r>
      <w:r>
        <w:rPr>
          <w:color w:val="231F20"/>
          <w:sz w:val="19"/>
          <w:szCs w:val="19"/>
        </w:rPr>
        <w:t xml:space="preserve">ізу Спірме на. </w:t>
      </w:r>
      <w:r>
        <w:rPr>
          <w:color w:val="231F20"/>
          <w:sz w:val="19"/>
          <w:szCs w:val="19"/>
        </w:rPr>
        <w:lastRenderedPageBreak/>
        <w:t xml:space="preserve">Статистично значущими вважали показники  р&lt;0,05 — їх у подальшому оцінювали за допомо гою багатофакторного регресійного аналізу. До цільність обраної моделі для регресійного аналі зу оцінювали за допомогою тесту ANOVA. </w:t>
      </w:r>
    </w:p>
    <w:p w:rsidR="001F332D" w:rsidRDefault="006E68E8">
      <w:pPr>
        <w:widowControl w:val="0"/>
        <w:pBdr>
          <w:top w:val="nil"/>
          <w:left w:val="nil"/>
          <w:bottom w:val="nil"/>
          <w:right w:val="nil"/>
          <w:between w:val="nil"/>
        </w:pBdr>
        <w:spacing w:before="178" w:line="240" w:lineRule="auto"/>
        <w:ind w:left="300"/>
        <w:rPr>
          <w:b/>
          <w:color w:val="485E88"/>
          <w:sz w:val="20"/>
          <w:szCs w:val="20"/>
        </w:rPr>
      </w:pPr>
      <w:r>
        <w:rPr>
          <w:b/>
          <w:color w:val="485E88"/>
          <w:sz w:val="20"/>
          <w:szCs w:val="20"/>
        </w:rPr>
        <w:t>РЕЗУЛЬТАТИ ДОСЛІДЖЕНН</w:t>
      </w:r>
      <w:r>
        <w:rPr>
          <w:b/>
          <w:color w:val="485E88"/>
          <w:sz w:val="20"/>
          <w:szCs w:val="20"/>
        </w:rPr>
        <w:t xml:space="preserve">Я </w:t>
      </w:r>
    </w:p>
    <w:p w:rsidR="001F332D" w:rsidRDefault="006E68E8">
      <w:pPr>
        <w:widowControl w:val="0"/>
        <w:pBdr>
          <w:top w:val="nil"/>
          <w:left w:val="nil"/>
          <w:bottom w:val="nil"/>
          <w:right w:val="nil"/>
          <w:between w:val="nil"/>
        </w:pBdr>
        <w:spacing w:before="62" w:line="241" w:lineRule="auto"/>
        <w:ind w:right="122" w:firstLine="292"/>
        <w:rPr>
          <w:color w:val="231F20"/>
          <w:sz w:val="19"/>
          <w:szCs w:val="19"/>
        </w:rPr>
      </w:pPr>
      <w:r>
        <w:rPr>
          <w:color w:val="231F20"/>
          <w:sz w:val="19"/>
          <w:szCs w:val="19"/>
        </w:rPr>
        <w:t xml:space="preserve">Середній вік пацієнтів загалом у когорті ста новив 48,65±1,34 року. За статтю переважали  жінки (серед усіх пацієнтів — 65%, ІЛАГ — 66,7%,  ЛАГ-СЗСТ — 66,7%, ЛАГ-ВВС — 73,3%, ХТЕЛГ —  53,3%). </w:t>
      </w:r>
    </w:p>
    <w:p w:rsidR="001F332D" w:rsidRDefault="006E68E8">
      <w:pPr>
        <w:widowControl w:val="0"/>
        <w:pBdr>
          <w:top w:val="nil"/>
          <w:left w:val="nil"/>
          <w:bottom w:val="nil"/>
          <w:right w:val="nil"/>
          <w:between w:val="nil"/>
        </w:pBdr>
        <w:spacing w:before="6" w:line="231" w:lineRule="auto"/>
        <w:ind w:left="1" w:right="121" w:firstLine="298"/>
        <w:rPr>
          <w:color w:val="231F20"/>
          <w:sz w:val="19"/>
          <w:szCs w:val="19"/>
        </w:rPr>
      </w:pPr>
      <w:r>
        <w:rPr>
          <w:color w:val="231F20"/>
          <w:sz w:val="19"/>
          <w:szCs w:val="19"/>
        </w:rPr>
        <w:t xml:space="preserve">Найгірші показники ФЗД виявлені у пацієнтів  із </w:t>
      </w:r>
      <w:r>
        <w:rPr>
          <w:color w:val="231F20"/>
          <w:sz w:val="19"/>
          <w:szCs w:val="19"/>
        </w:rPr>
        <w:lastRenderedPageBreak/>
        <w:t>ЛАГ-ВВС (</w:t>
      </w:r>
      <w:r>
        <w:rPr>
          <w:color w:val="485E88"/>
          <w:sz w:val="19"/>
          <w:szCs w:val="19"/>
        </w:rPr>
        <w:t>табл. 3</w:t>
      </w:r>
      <w:r>
        <w:rPr>
          <w:color w:val="231F20"/>
          <w:sz w:val="19"/>
          <w:szCs w:val="19"/>
        </w:rPr>
        <w:t>). Проте ЖЄЛ і ФЖЄЛ в се редньому перевищували порогове значення  70%. У пацієнтів із ЛАГ-ВВС ЖЄЛ була меншою  на 15,8%, ніж у групі ІЛАГ; ФЖЄЛ — на 15,8%, ніж  у групі ІЛАГ; ОФВ</w:t>
      </w:r>
      <w:r>
        <w:rPr>
          <w:color w:val="231F20"/>
          <w:sz w:val="18"/>
          <w:szCs w:val="18"/>
          <w:vertAlign w:val="subscript"/>
        </w:rPr>
        <w:t xml:space="preserve">1 </w:t>
      </w:r>
      <w:r>
        <w:rPr>
          <w:color w:val="231F20"/>
          <w:sz w:val="19"/>
          <w:szCs w:val="19"/>
        </w:rPr>
        <w:t>— на 18,87 і 15,4%, ніж у гру пах ІЛАГ та ХТЕЛГ відповідно; відношенн</w:t>
      </w:r>
      <w:r>
        <w:rPr>
          <w:color w:val="231F20"/>
          <w:sz w:val="19"/>
          <w:szCs w:val="19"/>
        </w:rPr>
        <w:t>я ОФВ</w:t>
      </w:r>
      <w:r>
        <w:rPr>
          <w:color w:val="231F20"/>
          <w:sz w:val="18"/>
          <w:szCs w:val="18"/>
          <w:vertAlign w:val="subscript"/>
        </w:rPr>
        <w:t xml:space="preserve">1 </w:t>
      </w:r>
      <w:r>
        <w:rPr>
          <w:color w:val="231F20"/>
          <w:sz w:val="19"/>
          <w:szCs w:val="19"/>
        </w:rPr>
        <w:t xml:space="preserve">/  ФЖЄЛ — на 7,8%, ніж у групі ХТЕЛГ; ПШВ —  на 18,07%, ніж у групі ІЛАГ; МОШ-75 — на 15,8%,  ніж у групі ІЛАГ; МОШ50 — на 29 і 22,8%, ніж у гру пах ІЛАГ та ХТЕЛГ. </w:t>
      </w:r>
    </w:p>
    <w:p w:rsidR="001F332D" w:rsidRDefault="006E68E8">
      <w:pPr>
        <w:widowControl w:val="0"/>
        <w:pBdr>
          <w:top w:val="nil"/>
          <w:left w:val="nil"/>
          <w:bottom w:val="nil"/>
          <w:right w:val="nil"/>
          <w:between w:val="nil"/>
        </w:pBdr>
        <w:spacing w:before="12" w:line="241" w:lineRule="auto"/>
        <w:ind w:left="3" w:right="121" w:firstLine="280"/>
        <w:rPr>
          <w:color w:val="231F20"/>
          <w:sz w:val="19"/>
          <w:szCs w:val="19"/>
        </w:rPr>
      </w:pPr>
      <w:r>
        <w:rPr>
          <w:color w:val="231F20"/>
          <w:sz w:val="19"/>
          <w:szCs w:val="19"/>
        </w:rPr>
        <w:t>ДЗЛМВ була найнижчою у хворих із ЛАГ-СЗСТ  (30,47±3,37%), що було статистично значущ</w:t>
      </w:r>
      <w:r>
        <w:rPr>
          <w:color w:val="231F20"/>
          <w:sz w:val="19"/>
          <w:szCs w:val="19"/>
        </w:rPr>
        <w:t>им  порівняно з усіма іншими досліджуваними гру пами ЛГ. Загалом, у всіх групах ЛГ ДЗЛМВ була  в середньому меншою, ніж показник норми (вище  ніж 70–80% за різними рекомендаціями [32]).  Найнижча ЗЄЛ (70,07±4,87%) відмічена у пацієн тів із ЛГ-ВВС, однак та</w:t>
      </w:r>
      <w:r>
        <w:rPr>
          <w:color w:val="231F20"/>
          <w:sz w:val="19"/>
          <w:szCs w:val="19"/>
        </w:rPr>
        <w:t xml:space="preserve">ке зниження не було ста тистично достовірним відносно інших досліджува них груп ЛГ. Статистична достовірність зниження  виявлена при порівнянні ЛГ-СЗСТ із групою ІЛАГ  (83,13± 4,24% проти 90,93±3,67%). </w:t>
      </w:r>
    </w:p>
    <w:p w:rsidR="001F332D" w:rsidRDefault="006E68E8">
      <w:pPr>
        <w:widowControl w:val="0"/>
        <w:pBdr>
          <w:top w:val="nil"/>
          <w:left w:val="nil"/>
          <w:bottom w:val="nil"/>
          <w:right w:val="nil"/>
          <w:between w:val="nil"/>
        </w:pBdr>
        <w:spacing w:before="6" w:line="234" w:lineRule="auto"/>
        <w:ind w:right="120"/>
        <w:jc w:val="right"/>
        <w:rPr>
          <w:color w:val="231F20"/>
          <w:sz w:val="19"/>
          <w:szCs w:val="19"/>
        </w:rPr>
      </w:pPr>
      <w:r>
        <w:rPr>
          <w:color w:val="231F20"/>
          <w:sz w:val="19"/>
          <w:szCs w:val="19"/>
        </w:rPr>
        <w:t>Кореляційний аналіз за Спірменом проведе ний між осно</w:t>
      </w:r>
      <w:r>
        <w:rPr>
          <w:color w:val="231F20"/>
          <w:sz w:val="19"/>
          <w:szCs w:val="19"/>
        </w:rPr>
        <w:t>вними показниками ФЗД, ДЗЛМВ,  ЗЄЛ та всіма показниками клініко-лабораторно го та інструментального обстеження пацієнтів  із ЛГ (</w:t>
      </w:r>
      <w:r>
        <w:rPr>
          <w:color w:val="485E88"/>
          <w:sz w:val="19"/>
          <w:szCs w:val="19"/>
        </w:rPr>
        <w:t>табл. 3, 4</w:t>
      </w:r>
      <w:r>
        <w:rPr>
          <w:color w:val="231F20"/>
          <w:sz w:val="19"/>
          <w:szCs w:val="19"/>
        </w:rPr>
        <w:t>). Встановлено, що ЖЄЛ мала ста тистично значущий кореляційний зв’язок з наяв ністю ВВС. ФЖЄЛ статистично значущо асо</w:t>
      </w:r>
      <w:r>
        <w:rPr>
          <w:color w:val="231F20"/>
          <w:sz w:val="19"/>
          <w:szCs w:val="19"/>
        </w:rPr>
        <w:t>цію валася з дистанцією, пройденою під час 6ХТ, ін дексом ПП, виміряним при ЕхоКГ, та наявністю  ВВС. ОФВ</w:t>
      </w:r>
      <w:r>
        <w:rPr>
          <w:color w:val="231F20"/>
          <w:sz w:val="18"/>
          <w:szCs w:val="18"/>
          <w:vertAlign w:val="subscript"/>
        </w:rPr>
        <w:t xml:space="preserve">1 </w:t>
      </w:r>
      <w:r>
        <w:rPr>
          <w:color w:val="231F20"/>
          <w:sz w:val="19"/>
          <w:szCs w:val="19"/>
        </w:rPr>
        <w:t>статистично значущо корелював із ма сою тіла та наявністю ВВС. Багатофакторний ре гресійний аналіз продемонстрував, що незалеж ні статистично значущі</w:t>
      </w:r>
      <w:r>
        <w:rPr>
          <w:color w:val="231F20"/>
          <w:sz w:val="19"/>
          <w:szCs w:val="19"/>
        </w:rPr>
        <w:t xml:space="preserve"> кореляції були між ЖЄЛ  (р=0,037) і ОФВ</w:t>
      </w:r>
      <w:r>
        <w:rPr>
          <w:color w:val="231F20"/>
          <w:sz w:val="18"/>
          <w:szCs w:val="18"/>
          <w:vertAlign w:val="subscript"/>
        </w:rPr>
        <w:t>1</w:t>
      </w:r>
      <w:r>
        <w:rPr>
          <w:color w:val="231F20"/>
          <w:sz w:val="11"/>
          <w:szCs w:val="11"/>
        </w:rPr>
        <w:t xml:space="preserve"> </w:t>
      </w:r>
      <w:r>
        <w:rPr>
          <w:color w:val="231F20"/>
          <w:sz w:val="19"/>
          <w:szCs w:val="19"/>
        </w:rPr>
        <w:t xml:space="preserve">(р=0,027) та наявністю ВВС, між  ФЖЄЛ та індексом ПП (p=0,009), між ДЗЛМВ та  дистанцією, пройденою під час 6ХТ (р=0,009),  </w:t>
      </w:r>
    </w:p>
    <w:p w:rsidR="001F332D" w:rsidRDefault="006E68E8">
      <w:pPr>
        <w:widowControl w:val="0"/>
        <w:pBdr>
          <w:top w:val="nil"/>
          <w:left w:val="nil"/>
          <w:bottom w:val="nil"/>
          <w:right w:val="nil"/>
          <w:between w:val="nil"/>
        </w:pBdr>
        <w:spacing w:before="355" w:line="237" w:lineRule="auto"/>
        <w:ind w:left="116" w:right="4" w:firstLine="8"/>
        <w:rPr>
          <w:color w:val="231F20"/>
          <w:sz w:val="19"/>
          <w:szCs w:val="19"/>
        </w:rPr>
      </w:pPr>
      <w:r>
        <w:rPr>
          <w:color w:val="231F20"/>
          <w:sz w:val="19"/>
          <w:szCs w:val="19"/>
        </w:rPr>
        <w:t>СрТЛА (р=0,040) і середнім тиском у ПШ (р=0,002)  та наявністю системного склерозу (р&lt;0,001), між  ЗЄЛ та індексом ПП (р=0,003) та наявністю сис темного склерозу (р=0,006). При проведенні ко реляційно-регресійного аналізу окремо в гру пі ЛГ-СЗСТ виявлено н</w:t>
      </w:r>
      <w:r>
        <w:rPr>
          <w:color w:val="231F20"/>
          <w:sz w:val="19"/>
          <w:szCs w:val="19"/>
        </w:rPr>
        <w:t>езалежні статистично  значущі кореляції між рівнем рСО</w:t>
      </w:r>
      <w:r>
        <w:rPr>
          <w:color w:val="231F20"/>
          <w:sz w:val="18"/>
          <w:szCs w:val="18"/>
          <w:vertAlign w:val="subscript"/>
        </w:rPr>
        <w:t xml:space="preserve">2 </w:t>
      </w:r>
      <w:r>
        <w:rPr>
          <w:color w:val="231F20"/>
          <w:sz w:val="19"/>
          <w:szCs w:val="19"/>
        </w:rPr>
        <w:t xml:space="preserve">в артеріаль ній крові та ЖЄЛ (beta=0,629, р=0,021, ANOVA  p=0,021), ФЖЄЛ (beta=0,964, р=0,008, ANOVA  p=0,015), ОФВ1 (beta=0,562, р=0,046, ANOVA  p=0,046). Окрім того, ДЗЛМВ достовірно коре лювала із </w:t>
      </w:r>
      <w:r>
        <w:rPr>
          <w:color w:val="231F20"/>
          <w:sz w:val="19"/>
          <w:szCs w:val="19"/>
        </w:rPr>
        <w:t xml:space="preserve">середнім тиском у правому передсер ді (beta=–0,590, р=0,026, </w:t>
      </w:r>
      <w:r>
        <w:rPr>
          <w:color w:val="231F20"/>
          <w:sz w:val="19"/>
          <w:szCs w:val="19"/>
        </w:rPr>
        <w:lastRenderedPageBreak/>
        <w:t xml:space="preserve">ANOVA p=0,026), а ЗЄЛ  із ступенем колабування НПВ, визначеним під час  </w:t>
      </w:r>
    </w:p>
    <w:p w:rsidR="001F332D" w:rsidRDefault="006E68E8">
      <w:pPr>
        <w:widowControl w:val="0"/>
        <w:pBdr>
          <w:top w:val="nil"/>
          <w:left w:val="nil"/>
          <w:bottom w:val="nil"/>
          <w:right w:val="nil"/>
          <w:between w:val="nil"/>
        </w:pBdr>
        <w:spacing w:before="8" w:line="241" w:lineRule="auto"/>
        <w:ind w:left="122" w:right="7" w:firstLine="10"/>
        <w:rPr>
          <w:color w:val="231F20"/>
          <w:sz w:val="19"/>
          <w:szCs w:val="19"/>
        </w:rPr>
      </w:pPr>
      <w:r>
        <w:rPr>
          <w:color w:val="231F20"/>
          <w:sz w:val="19"/>
          <w:szCs w:val="19"/>
        </w:rPr>
        <w:t>ЕхоКГ (beta=0,542, р=0,037, ANOVA p=0,037). Таким чином, у пацієнтів з ЛАГ найбільш ви ражені порушення ФЗД зафіксовані за</w:t>
      </w:r>
      <w:r>
        <w:rPr>
          <w:color w:val="231F20"/>
          <w:sz w:val="19"/>
          <w:szCs w:val="19"/>
        </w:rPr>
        <w:t xml:space="preserve"> наявності  ВВС, а найбільш виражені зміни ДЗЛМВ та ЗЄЛ —  за наявності СЗСТ (особливо системного склеро зу). При цьому у пацієнтів з СЗСТ показники ФЗД  були майже в межах норми, що свідчить про не обхідність проведення оцінки саме ДЗЛМВ всім  пацієнтам з</w:t>
      </w:r>
      <w:r>
        <w:rPr>
          <w:color w:val="231F20"/>
          <w:sz w:val="19"/>
          <w:szCs w:val="19"/>
        </w:rPr>
        <w:t xml:space="preserve"> цією патологією, адже в нашому до слідженні саме ДЗЛМВ асоціювалась із функціо нальним станом пацієнтів (дистанцією 6ХТ) та по рушенням гемодинаміки (вищим тиском в легене вій артерії та ПП). </w:t>
      </w:r>
    </w:p>
    <w:p w:rsidR="001F332D" w:rsidRDefault="006E68E8">
      <w:pPr>
        <w:widowControl w:val="0"/>
        <w:pBdr>
          <w:top w:val="nil"/>
          <w:left w:val="nil"/>
          <w:bottom w:val="nil"/>
          <w:right w:val="nil"/>
          <w:between w:val="nil"/>
        </w:pBdr>
        <w:spacing w:before="178" w:line="240" w:lineRule="auto"/>
        <w:ind w:left="409"/>
        <w:rPr>
          <w:b/>
          <w:color w:val="485E88"/>
          <w:sz w:val="20"/>
          <w:szCs w:val="20"/>
        </w:rPr>
      </w:pPr>
      <w:r>
        <w:rPr>
          <w:b/>
          <w:color w:val="485E88"/>
          <w:sz w:val="20"/>
          <w:szCs w:val="20"/>
        </w:rPr>
        <w:t xml:space="preserve">ОБГОВОРЕННЯ </w:t>
      </w:r>
    </w:p>
    <w:p w:rsidR="001F332D" w:rsidRDefault="006E68E8">
      <w:pPr>
        <w:widowControl w:val="0"/>
        <w:pBdr>
          <w:top w:val="nil"/>
          <w:left w:val="nil"/>
          <w:bottom w:val="nil"/>
          <w:right w:val="nil"/>
          <w:between w:val="nil"/>
        </w:pBdr>
        <w:spacing w:before="62" w:line="241" w:lineRule="auto"/>
        <w:ind w:left="116" w:right="7"/>
        <w:jc w:val="center"/>
        <w:rPr>
          <w:color w:val="231F20"/>
          <w:sz w:val="19"/>
          <w:szCs w:val="19"/>
        </w:rPr>
      </w:pPr>
      <w:r>
        <w:rPr>
          <w:color w:val="231F20"/>
          <w:sz w:val="19"/>
          <w:szCs w:val="19"/>
        </w:rPr>
        <w:t>Наше дослідження підтвердило результати ін ших спостережень, в яких показано, що у пацієн тів із ЛАГ та ХТЕЛГ може відмічатися порушення  ФЗД [33, 34, 35]. У попередньому нашому дослі дженні [36], в якому, однак, в аналіз не було вклю чено пацієнтів із ЛАГ</w:t>
      </w:r>
      <w:r>
        <w:rPr>
          <w:color w:val="231F20"/>
          <w:sz w:val="19"/>
          <w:szCs w:val="19"/>
        </w:rPr>
        <w:t xml:space="preserve">-ССЗТ, відзначали схожі змі ни. За даними літератури, це пояснюється:  </w:t>
      </w:r>
    </w:p>
    <w:p w:rsidR="001F332D" w:rsidRDefault="006E68E8">
      <w:pPr>
        <w:widowControl w:val="0"/>
        <w:pBdr>
          <w:top w:val="nil"/>
          <w:left w:val="nil"/>
          <w:bottom w:val="nil"/>
          <w:right w:val="nil"/>
          <w:between w:val="nil"/>
        </w:pBdr>
        <w:spacing w:before="6" w:line="241" w:lineRule="auto"/>
        <w:ind w:left="116" w:right="7" w:firstLine="308"/>
        <w:rPr>
          <w:color w:val="231F20"/>
          <w:sz w:val="19"/>
          <w:szCs w:val="19"/>
        </w:rPr>
      </w:pPr>
      <w:r>
        <w:rPr>
          <w:color w:val="231F20"/>
          <w:sz w:val="19"/>
          <w:szCs w:val="19"/>
        </w:rPr>
        <w:t>1) наявністю системного запалення [37],  при якому відбувається периваскулярна інфіль трація дихальних шляхів прозапальними клітина ми (Т-, В-клітинами та макрофагами), інтерлей кінами</w:t>
      </w:r>
      <w:r>
        <w:rPr>
          <w:color w:val="231F20"/>
          <w:sz w:val="19"/>
          <w:szCs w:val="19"/>
        </w:rPr>
        <w:t xml:space="preserve">, фактором некрозу пухлин-α [38, 39, 40],  яка у подальшому може викликати обструкцію ди хальних шляхів [41];  </w:t>
      </w:r>
    </w:p>
    <w:p w:rsidR="001F332D" w:rsidRDefault="006E68E8">
      <w:pPr>
        <w:widowControl w:val="0"/>
        <w:pBdr>
          <w:top w:val="nil"/>
          <w:left w:val="nil"/>
          <w:bottom w:val="nil"/>
          <w:right w:val="nil"/>
          <w:between w:val="nil"/>
        </w:pBdr>
        <w:spacing w:before="6" w:line="241" w:lineRule="auto"/>
        <w:ind w:left="129" w:right="66" w:firstLine="280"/>
        <w:rPr>
          <w:color w:val="231F20"/>
          <w:sz w:val="19"/>
          <w:szCs w:val="19"/>
        </w:rPr>
      </w:pPr>
      <w:r>
        <w:rPr>
          <w:color w:val="231F20"/>
          <w:sz w:val="19"/>
          <w:szCs w:val="19"/>
        </w:rPr>
        <w:t xml:space="preserve">2) бронхоконстрикцією під дією ендотелі ну-1 [42];  </w:t>
      </w:r>
    </w:p>
    <w:p w:rsidR="001F332D" w:rsidRDefault="006E68E8">
      <w:pPr>
        <w:widowControl w:val="0"/>
        <w:pBdr>
          <w:top w:val="nil"/>
          <w:left w:val="nil"/>
          <w:bottom w:val="nil"/>
          <w:right w:val="nil"/>
          <w:between w:val="nil"/>
        </w:pBdr>
        <w:spacing w:before="6" w:line="241" w:lineRule="auto"/>
        <w:ind w:left="118" w:right="66" w:firstLine="288"/>
        <w:rPr>
          <w:color w:val="231F20"/>
          <w:sz w:val="19"/>
          <w:szCs w:val="19"/>
        </w:rPr>
      </w:pPr>
      <w:r>
        <w:rPr>
          <w:color w:val="231F20"/>
          <w:sz w:val="19"/>
          <w:szCs w:val="19"/>
        </w:rPr>
        <w:t xml:space="preserve">3) зниженням продукції та вмісту оксиду азо ту, який зумовлює бронходилатацію;  4) рефлексом Ейлера — Лілєстранда зі спазму ванням бронхів при локальному погіршанні крово плину в альвеолах для кращої вентиляції тих діля нок, які мають кращу перфузію;  </w:t>
      </w:r>
    </w:p>
    <w:p w:rsidR="001F332D" w:rsidRDefault="006E68E8">
      <w:pPr>
        <w:widowControl w:val="0"/>
        <w:pBdr>
          <w:top w:val="nil"/>
          <w:left w:val="nil"/>
          <w:bottom w:val="nil"/>
          <w:right w:val="nil"/>
          <w:between w:val="nil"/>
        </w:pBdr>
        <w:spacing w:before="6" w:line="241" w:lineRule="auto"/>
        <w:ind w:left="124" w:right="6" w:firstLine="284"/>
        <w:rPr>
          <w:color w:val="231F20"/>
          <w:sz w:val="19"/>
          <w:szCs w:val="19"/>
        </w:rPr>
      </w:pPr>
      <w:r>
        <w:rPr>
          <w:color w:val="231F20"/>
          <w:sz w:val="19"/>
          <w:szCs w:val="19"/>
        </w:rPr>
        <w:t xml:space="preserve">5) </w:t>
      </w:r>
      <w:r>
        <w:rPr>
          <w:color w:val="231F20"/>
          <w:sz w:val="19"/>
          <w:szCs w:val="19"/>
        </w:rPr>
        <w:t xml:space="preserve">порушеннями дихання, що виникають  в бронхах малого калібру [41], не проявляють ся у стані спокою при звичайній спірометрії, але  визначають зниження толерантності до фізичних  навантажень. </w:t>
      </w:r>
    </w:p>
    <w:p w:rsidR="001F332D" w:rsidRDefault="006E68E8">
      <w:pPr>
        <w:widowControl w:val="0"/>
        <w:pBdr>
          <w:top w:val="nil"/>
          <w:left w:val="nil"/>
          <w:bottom w:val="nil"/>
          <w:right w:val="nil"/>
          <w:between w:val="nil"/>
        </w:pBdr>
        <w:spacing w:before="6" w:line="241" w:lineRule="auto"/>
        <w:ind w:left="116" w:right="7"/>
        <w:jc w:val="right"/>
        <w:rPr>
          <w:color w:val="231F20"/>
          <w:sz w:val="19"/>
          <w:szCs w:val="19"/>
        </w:rPr>
        <w:sectPr w:rsidR="001F332D">
          <w:type w:val="continuous"/>
          <w:pgSz w:w="11320" w:h="16040"/>
          <w:pgMar w:top="494" w:right="1067" w:bottom="587" w:left="736" w:header="0" w:footer="720" w:gutter="0"/>
          <w:cols w:num="2" w:space="720" w:equalWidth="0">
            <w:col w:w="4760" w:space="0"/>
            <w:col w:w="4760" w:space="0"/>
          </w:cols>
        </w:sectPr>
      </w:pPr>
      <w:r>
        <w:rPr>
          <w:color w:val="231F20"/>
          <w:sz w:val="19"/>
          <w:szCs w:val="19"/>
        </w:rPr>
        <w:t>У пацієнтів із ЛАГ-ВВС відмічають н</w:t>
      </w:r>
      <w:r>
        <w:rPr>
          <w:color w:val="231F20"/>
          <w:sz w:val="19"/>
          <w:szCs w:val="19"/>
        </w:rPr>
        <w:t xml:space="preserve">айгірші по казники ФЗД, що збігається з результатами інших  досліджень [41, 43]. Окрім вищезгаданих механіз мів, причинами цього можуть слугувати такі до даткові фактори, як деформація грудної клітки та  часті респіраторні захворювання в анамнезі. Саме  </w:t>
      </w:r>
    </w:p>
    <w:p w:rsidR="001F332D" w:rsidRDefault="006E68E8">
      <w:pPr>
        <w:widowControl w:val="0"/>
        <w:pBdr>
          <w:top w:val="nil"/>
          <w:left w:val="nil"/>
          <w:bottom w:val="nil"/>
          <w:right w:val="nil"/>
          <w:between w:val="nil"/>
        </w:pBdr>
        <w:spacing w:before="160" w:line="240" w:lineRule="auto"/>
        <w:ind w:left="212"/>
        <w:rPr>
          <w:color w:val="485E88"/>
          <w:sz w:val="16"/>
          <w:szCs w:val="16"/>
        </w:rPr>
        <w:sectPr w:rsidR="001F332D">
          <w:type w:val="continuous"/>
          <w:pgSz w:w="11320" w:h="16040"/>
          <w:pgMar w:top="494" w:right="689" w:bottom="587" w:left="733" w:header="0" w:footer="720" w:gutter="0"/>
          <w:cols w:space="720" w:equalWidth="0">
            <w:col w:w="9897" w:space="0"/>
          </w:cols>
        </w:sectPr>
      </w:pPr>
      <w:r>
        <w:rPr>
          <w:color w:val="FFFFFF"/>
          <w:sz w:val="24"/>
          <w:szCs w:val="24"/>
        </w:rPr>
        <w:lastRenderedPageBreak/>
        <w:t xml:space="preserve">6 </w:t>
      </w:r>
      <w:r>
        <w:rPr>
          <w:color w:val="485E88"/>
          <w:sz w:val="16"/>
          <w:szCs w:val="16"/>
        </w:rPr>
        <w:t xml:space="preserve">УКРАЇНСЬКИЙ РЕВМАТОЛОГІЧНИЙ ЖУРНАЛ • № 1 (99) • 2025 </w:t>
      </w:r>
    </w:p>
    <w:p w:rsidR="001F332D" w:rsidRDefault="006E68E8">
      <w:pPr>
        <w:widowControl w:val="0"/>
        <w:pBdr>
          <w:top w:val="nil"/>
          <w:left w:val="nil"/>
          <w:bottom w:val="nil"/>
          <w:right w:val="nil"/>
          <w:between w:val="nil"/>
        </w:pBdr>
        <w:spacing w:before="355" w:line="229" w:lineRule="auto"/>
        <w:ind w:left="2" w:right="123" w:hanging="2"/>
        <w:jc w:val="both"/>
        <w:rPr>
          <w:color w:val="231F20"/>
          <w:sz w:val="19"/>
          <w:szCs w:val="19"/>
        </w:rPr>
      </w:pPr>
      <w:r>
        <w:rPr>
          <w:color w:val="231F20"/>
          <w:sz w:val="19"/>
          <w:szCs w:val="19"/>
        </w:rPr>
        <w:lastRenderedPageBreak/>
        <w:t>тому, вірогідно, і відмічали статистично значущі  й незалежні кореляції ЖЄЛ та ОВФ</w:t>
      </w:r>
      <w:r>
        <w:rPr>
          <w:color w:val="231F20"/>
          <w:sz w:val="18"/>
          <w:szCs w:val="18"/>
          <w:vertAlign w:val="subscript"/>
        </w:rPr>
        <w:t xml:space="preserve">1 </w:t>
      </w:r>
      <w:r>
        <w:rPr>
          <w:color w:val="231F20"/>
          <w:sz w:val="19"/>
          <w:szCs w:val="19"/>
        </w:rPr>
        <w:t xml:space="preserve">із наявністю  ВВС. Іншими важливими причинами таких змін  можуть бути супутня деформація грудної клітки,  затримка розвитку легень у дитячому віці (осо </w:t>
      </w:r>
    </w:p>
    <w:p w:rsidR="001F332D" w:rsidRDefault="006E68E8">
      <w:pPr>
        <w:widowControl w:val="0"/>
        <w:pBdr>
          <w:top w:val="nil"/>
          <w:left w:val="nil"/>
          <w:bottom w:val="nil"/>
          <w:right w:val="nil"/>
          <w:between w:val="nil"/>
        </w:pBdr>
        <w:spacing w:before="14" w:line="241" w:lineRule="auto"/>
        <w:ind w:left="2" w:right="122" w:firstLine="5"/>
        <w:rPr>
          <w:color w:val="231F20"/>
          <w:sz w:val="19"/>
          <w:szCs w:val="19"/>
        </w:rPr>
      </w:pPr>
      <w:r>
        <w:rPr>
          <w:color w:val="231F20"/>
          <w:sz w:val="19"/>
          <w:szCs w:val="19"/>
        </w:rPr>
        <w:t>бливо при ліво-правих шунтах [44], а також су путня анатомічна функціональна гіповентиляція,  зумовлена</w:t>
      </w:r>
      <w:r>
        <w:rPr>
          <w:color w:val="231F20"/>
          <w:sz w:val="19"/>
          <w:szCs w:val="19"/>
        </w:rPr>
        <w:t xml:space="preserve"> тривалим порушенням вентиляційно перфузійного співвідношення у дорослих пацієн тів із ВВС [45] та особливо виражена при фізичних  навантаженнях. За даними літератури, рестрик тивні порушення дихальної функції у таких паці єнтів також можуть бути зумовлені</w:t>
      </w:r>
      <w:r>
        <w:rPr>
          <w:color w:val="231F20"/>
          <w:sz w:val="19"/>
          <w:szCs w:val="19"/>
        </w:rPr>
        <w:t xml:space="preserve"> перенесеними  кардіохірургічними втручаннями [33], але жоден  з </w:t>
      </w:r>
      <w:r>
        <w:rPr>
          <w:color w:val="231F20"/>
          <w:sz w:val="19"/>
          <w:szCs w:val="19"/>
        </w:rPr>
        <w:lastRenderedPageBreak/>
        <w:t xml:space="preserve">обстежених нами пацієнтів не мав у анамнезі хі рургічної корекції вади. </w:t>
      </w:r>
    </w:p>
    <w:p w:rsidR="001F332D" w:rsidRDefault="006E68E8">
      <w:pPr>
        <w:widowControl w:val="0"/>
        <w:pBdr>
          <w:top w:val="nil"/>
          <w:left w:val="nil"/>
          <w:bottom w:val="nil"/>
          <w:right w:val="nil"/>
          <w:between w:val="nil"/>
        </w:pBdr>
        <w:spacing w:before="6" w:line="241" w:lineRule="auto"/>
        <w:ind w:left="2" w:right="122" w:firstLine="297"/>
        <w:jc w:val="both"/>
        <w:rPr>
          <w:color w:val="231F20"/>
          <w:sz w:val="19"/>
          <w:szCs w:val="19"/>
        </w:rPr>
      </w:pPr>
      <w:r>
        <w:rPr>
          <w:color w:val="231F20"/>
          <w:sz w:val="19"/>
          <w:szCs w:val="19"/>
        </w:rPr>
        <w:t>Вважається, що пацієнти з ЛАГ, особливо  з ІЛАГ, мають показники ФЗД в межах норми [46– 50]. Проте багато даних свідчать, що хворі з ЛАГ  та ХТЕЛГ мають значно гірші показники ФЗД, ніж  особи без цих хвороб. Так, за даними G.E. Dalonzo  і співавторів (1984</w:t>
      </w:r>
      <w:r>
        <w:rPr>
          <w:color w:val="231F20"/>
          <w:sz w:val="19"/>
          <w:szCs w:val="19"/>
        </w:rPr>
        <w:t xml:space="preserve">) та C.V. Burke і співавторів  (1987) [50, 51], 20–40% пацієнтів з ІЛАГ можуть  мати обструкцію дихальних шляхів, яку оцінюва </w:t>
      </w:r>
    </w:p>
    <w:p w:rsidR="001F332D" w:rsidRDefault="006E68E8">
      <w:pPr>
        <w:widowControl w:val="0"/>
        <w:pBdr>
          <w:top w:val="nil"/>
          <w:left w:val="nil"/>
          <w:bottom w:val="nil"/>
          <w:right w:val="nil"/>
          <w:between w:val="nil"/>
        </w:pBdr>
        <w:spacing w:before="6" w:line="212" w:lineRule="auto"/>
        <w:ind w:right="123" w:firstLine="2"/>
        <w:jc w:val="both"/>
        <w:rPr>
          <w:color w:val="231F20"/>
          <w:sz w:val="19"/>
          <w:szCs w:val="19"/>
        </w:rPr>
      </w:pPr>
      <w:r>
        <w:rPr>
          <w:color w:val="231F20"/>
          <w:sz w:val="19"/>
          <w:szCs w:val="19"/>
        </w:rPr>
        <w:t>ли за відношенням ОФВ</w:t>
      </w:r>
      <w:r>
        <w:rPr>
          <w:color w:val="231F20"/>
          <w:sz w:val="18"/>
          <w:szCs w:val="18"/>
          <w:vertAlign w:val="subscript"/>
        </w:rPr>
        <w:t>1</w:t>
      </w:r>
      <w:r>
        <w:rPr>
          <w:color w:val="231F20"/>
          <w:sz w:val="11"/>
          <w:szCs w:val="11"/>
        </w:rPr>
        <w:t xml:space="preserve"> </w:t>
      </w:r>
      <w:r>
        <w:rPr>
          <w:color w:val="231F20"/>
          <w:sz w:val="19"/>
          <w:szCs w:val="19"/>
        </w:rPr>
        <w:t>до ЖЄЛ &lt;70%. Дослі дження Meyer (2002) показало, що середній по казник ОФВ</w:t>
      </w:r>
      <w:r>
        <w:rPr>
          <w:color w:val="231F20"/>
          <w:sz w:val="18"/>
          <w:szCs w:val="18"/>
          <w:vertAlign w:val="subscript"/>
        </w:rPr>
        <w:t xml:space="preserve">1 </w:t>
      </w:r>
      <w:r>
        <w:rPr>
          <w:color w:val="231F20"/>
          <w:sz w:val="19"/>
          <w:szCs w:val="19"/>
        </w:rPr>
        <w:t xml:space="preserve">/ ЖЄЛ був статистично значущо </w:t>
      </w:r>
      <w:r>
        <w:rPr>
          <w:color w:val="231F20"/>
          <w:sz w:val="19"/>
          <w:szCs w:val="19"/>
        </w:rPr>
        <w:t xml:space="preserve">ниж чим, ніж у контрольній групі — 76 проти 84% [52].  </w:t>
      </w:r>
    </w:p>
    <w:p w:rsidR="001F332D" w:rsidRDefault="006E68E8">
      <w:pPr>
        <w:widowControl w:val="0"/>
        <w:pBdr>
          <w:top w:val="nil"/>
          <w:left w:val="nil"/>
          <w:bottom w:val="nil"/>
          <w:right w:val="nil"/>
          <w:between w:val="nil"/>
        </w:pBdr>
        <w:spacing w:before="27" w:line="241" w:lineRule="auto"/>
        <w:ind w:right="121" w:firstLine="16"/>
        <w:rPr>
          <w:color w:val="231F20"/>
          <w:sz w:val="19"/>
          <w:szCs w:val="19"/>
        </w:rPr>
      </w:pPr>
      <w:r>
        <w:rPr>
          <w:color w:val="231F20"/>
          <w:sz w:val="19"/>
          <w:szCs w:val="19"/>
        </w:rPr>
        <w:t xml:space="preserve">Наявність протилежних результатів досліджень,  </w:t>
      </w:r>
      <w:r>
        <w:rPr>
          <w:color w:val="231F20"/>
          <w:sz w:val="19"/>
          <w:szCs w:val="19"/>
        </w:rPr>
        <w:lastRenderedPageBreak/>
        <w:t xml:space="preserve">ймовірно, пов’язана з тим, що спірометрія є не інформативним методом оцінки периферичної  обструкції дихальних шляхів, яка може виникати  в пацієнтів із </w:t>
      </w:r>
      <w:r>
        <w:rPr>
          <w:color w:val="231F20"/>
          <w:sz w:val="19"/>
          <w:szCs w:val="19"/>
        </w:rPr>
        <w:t>ЛАГ, адже її порушення вносять лише  10% в тотальний опір дихальних шляхів [41]. Ви явлені зміни у групі ЛАГ-СЗСТ у показниках, що  характеризують дрібний калібр бронхів (зниже ний МОШ-75), хоч і відповідали даним літерату ри щодо звичного імовірного прояв</w:t>
      </w:r>
      <w:r>
        <w:rPr>
          <w:color w:val="231F20"/>
          <w:sz w:val="19"/>
          <w:szCs w:val="19"/>
        </w:rPr>
        <w:t xml:space="preserve">у інтерстиці ального ураження, однак не були статистично до </w:t>
      </w:r>
    </w:p>
    <w:p w:rsidR="001F332D" w:rsidRDefault="006E68E8">
      <w:pPr>
        <w:widowControl w:val="0"/>
        <w:pBdr>
          <w:top w:val="nil"/>
          <w:left w:val="nil"/>
          <w:bottom w:val="nil"/>
          <w:right w:val="nil"/>
          <w:between w:val="nil"/>
        </w:pBdr>
        <w:spacing w:before="6" w:line="241" w:lineRule="auto"/>
        <w:ind w:right="123" w:firstLine="8"/>
        <w:rPr>
          <w:color w:val="231F20"/>
          <w:sz w:val="19"/>
          <w:szCs w:val="19"/>
        </w:rPr>
      </w:pPr>
      <w:r>
        <w:rPr>
          <w:color w:val="231F20"/>
          <w:sz w:val="19"/>
          <w:szCs w:val="19"/>
        </w:rPr>
        <w:t>стовірними відносно інших форм ЛГ [53]. У дослідженні V. Arunthari і співавторів (2010)  не виявлено кореляції між показниками ФЗД та  гемодинаміки [54], що відповідає результатам на шого дослідження. Встановлена нами незалежна  кореляція між ФЖЄЛ та ЗЄЛ з</w:t>
      </w:r>
      <w:r>
        <w:rPr>
          <w:color w:val="231F20"/>
          <w:sz w:val="19"/>
          <w:szCs w:val="19"/>
        </w:rPr>
        <w:t xml:space="preserve"> одного боку та роз міром ПП з іншого — потребує подальших дослі джень для інтерпретації отриманих даних, оскіль ки збільшення площі ПП може залежати від ступе ня підвищення тиску в легеневій артерії, розміру  та варіанту внутрішньосерцевого шунта у пацієн</w:t>
      </w:r>
      <w:r>
        <w:rPr>
          <w:color w:val="231F20"/>
          <w:sz w:val="19"/>
          <w:szCs w:val="19"/>
        </w:rPr>
        <w:t xml:space="preserve"> тів з ЛАГ-ВВС, ступеня та характеру недостатнос ті тристулкового клапана тощо. </w:t>
      </w:r>
    </w:p>
    <w:p w:rsidR="001F332D" w:rsidRDefault="006E68E8">
      <w:pPr>
        <w:widowControl w:val="0"/>
        <w:pBdr>
          <w:top w:val="nil"/>
          <w:left w:val="nil"/>
          <w:bottom w:val="nil"/>
          <w:right w:val="nil"/>
          <w:between w:val="nil"/>
        </w:pBdr>
        <w:spacing w:before="6" w:line="241" w:lineRule="auto"/>
        <w:ind w:left="1" w:right="122"/>
        <w:jc w:val="right"/>
        <w:rPr>
          <w:color w:val="231F20"/>
          <w:sz w:val="19"/>
          <w:szCs w:val="19"/>
        </w:rPr>
      </w:pPr>
      <w:r>
        <w:rPr>
          <w:color w:val="231F20"/>
          <w:sz w:val="19"/>
          <w:szCs w:val="19"/>
        </w:rPr>
        <w:t>Зниження ДЗЛМВ рано чи пізно відзначали  у всіх пацієнтів із ЛГ. Це пояснюється сукупністю  різних механізмів: ремоделюванням артерій ма лого калібру та їх мікротромбування зі</w:t>
      </w:r>
      <w:r>
        <w:rPr>
          <w:color w:val="231F20"/>
          <w:sz w:val="19"/>
          <w:szCs w:val="19"/>
        </w:rPr>
        <w:t xml:space="preserve"> звуженням  або обструкцією, дисфункцією ендотелію капі лярів зі зміною проникності і розвитком набряку,  формуванням пульмобронхіальних шунтів, наяв ністю внутрішньосерцевих шунтів. Результати ко реляційно-регресійного аналізу ДЗЛМВ частково  збігались із</w:t>
      </w:r>
      <w:r>
        <w:rPr>
          <w:color w:val="231F20"/>
          <w:sz w:val="19"/>
          <w:szCs w:val="19"/>
        </w:rPr>
        <w:t xml:space="preserve"> такими у раніше проведених дослі </w:t>
      </w:r>
    </w:p>
    <w:p w:rsidR="001F332D" w:rsidRDefault="006E68E8">
      <w:pPr>
        <w:widowControl w:val="0"/>
        <w:pBdr>
          <w:top w:val="nil"/>
          <w:left w:val="nil"/>
          <w:bottom w:val="nil"/>
          <w:right w:val="nil"/>
          <w:between w:val="nil"/>
        </w:pBdr>
        <w:spacing w:line="240" w:lineRule="auto"/>
        <w:ind w:right="72"/>
        <w:jc w:val="right"/>
        <w:rPr>
          <w:color w:val="485E88"/>
          <w:sz w:val="24"/>
          <w:szCs w:val="24"/>
        </w:rPr>
      </w:pPr>
      <w:r>
        <w:rPr>
          <w:color w:val="485E88"/>
          <w:sz w:val="24"/>
          <w:szCs w:val="24"/>
        </w:rPr>
        <w:t>ВЛАСНІ СПОСТЕРЕЖЕННЯ</w:t>
      </w:r>
    </w:p>
    <w:p w:rsidR="001F332D" w:rsidRDefault="006E68E8">
      <w:pPr>
        <w:widowControl w:val="0"/>
        <w:pBdr>
          <w:top w:val="nil"/>
          <w:left w:val="nil"/>
          <w:bottom w:val="nil"/>
          <w:right w:val="nil"/>
          <w:between w:val="nil"/>
        </w:pBdr>
        <w:spacing w:before="75" w:line="253" w:lineRule="auto"/>
        <w:ind w:left="115" w:right="6"/>
        <w:rPr>
          <w:color w:val="231F20"/>
          <w:sz w:val="19"/>
          <w:szCs w:val="19"/>
        </w:rPr>
      </w:pPr>
      <w:r>
        <w:rPr>
          <w:color w:val="231F20"/>
          <w:sz w:val="19"/>
          <w:szCs w:val="19"/>
        </w:rPr>
        <w:t>дженнях. Так, у дослідженні M. Szturmowicz і спів авторів (2016) при ДЗЛМВ &lt;55 % виявлена коре ляція цього показника із функціональним класом  та коротшою дистанцією 6ХТ [55]. На противагу  загальновідомому зв’язку патогенезу зниження  дифузійної здатності</w:t>
      </w:r>
      <w:r>
        <w:rPr>
          <w:color w:val="231F20"/>
          <w:sz w:val="19"/>
          <w:szCs w:val="19"/>
        </w:rPr>
        <w:t xml:space="preserve"> легень із порушенням ге модинаміки, що підтвердилося виявленими неза лежно статистично значущими кореляціями із се реднім тиском у легеневій артерії та ПШ, у дослі дженні V. Arunthari і співавторів не виявили цієї  кореляції [54]. Автори пояснювали це обм</w:t>
      </w:r>
      <w:r>
        <w:rPr>
          <w:color w:val="231F20"/>
          <w:sz w:val="19"/>
          <w:szCs w:val="19"/>
        </w:rPr>
        <w:t xml:space="preserve">ежен ням дослідження, коли оцінка функції дихання та  КПС проводилася в різні дні, та тим, що вони об </w:t>
      </w:r>
      <w:r>
        <w:rPr>
          <w:color w:val="231F20"/>
          <w:sz w:val="19"/>
          <w:szCs w:val="19"/>
        </w:rPr>
        <w:lastRenderedPageBreak/>
        <w:t xml:space="preserve">стежували тяжку категорію пацієнтів із супутньою  патологією. </w:t>
      </w:r>
    </w:p>
    <w:p w:rsidR="001F332D" w:rsidRDefault="006E68E8">
      <w:pPr>
        <w:widowControl w:val="0"/>
        <w:pBdr>
          <w:top w:val="nil"/>
          <w:left w:val="nil"/>
          <w:bottom w:val="nil"/>
          <w:right w:val="nil"/>
          <w:between w:val="nil"/>
        </w:pBdr>
        <w:spacing w:before="8" w:line="253" w:lineRule="auto"/>
        <w:ind w:left="115" w:right="5" w:firstLine="299"/>
        <w:rPr>
          <w:color w:val="231F20"/>
          <w:sz w:val="19"/>
          <w:szCs w:val="19"/>
        </w:rPr>
      </w:pPr>
      <w:r>
        <w:rPr>
          <w:color w:val="231F20"/>
          <w:sz w:val="19"/>
          <w:szCs w:val="19"/>
        </w:rPr>
        <w:t>При проведенні багатофакторного регресій ного аналізу незалежним предиктором низької  ДЗЛМВ</w:t>
      </w:r>
      <w:r>
        <w:rPr>
          <w:color w:val="231F20"/>
          <w:sz w:val="19"/>
          <w:szCs w:val="19"/>
        </w:rPr>
        <w:t xml:space="preserve"> та ЗЄЛ була наявність системного склеро зу. У нашому дослідженні серед пацієнтів із СЗСТ  частка хворих із системним склерозом станови ла 73,3% (11 пацієнтів із 15). Дані раніше прове деного дослідження Bernstein та співавторів [56]  свідчать, що з чутлив</w:t>
      </w:r>
      <w:r>
        <w:rPr>
          <w:color w:val="231F20"/>
          <w:sz w:val="19"/>
          <w:szCs w:val="19"/>
        </w:rPr>
        <w:t>істю 95% пацієнти із систем ним склерозом з ФЖЄЛ &lt;80% та ДЗМВ &lt;80% ма ють інтерстиціальне захворювання легень, яке є  найважливішою причиною респіраторних пору шень. За наявності інтерстиціального уражен ня зменшується альвеолярний об’єм та/або по товщуєть</w:t>
      </w:r>
      <w:r>
        <w:rPr>
          <w:color w:val="231F20"/>
          <w:sz w:val="19"/>
          <w:szCs w:val="19"/>
        </w:rPr>
        <w:t>ся альвеолокапілярна мембрана. Окрім  того, відбувається судинне ремоделювання з по товщенням судинної стінки та підвищенням жор сткості артерій [57]. При ЛГ порушується легене ва гемодинаміка, що асоціюється із погіршенням  ДЗЛМВ. У нашому дослідженні пар</w:t>
      </w:r>
      <w:r>
        <w:rPr>
          <w:color w:val="231F20"/>
          <w:sz w:val="19"/>
          <w:szCs w:val="19"/>
        </w:rPr>
        <w:t>аметри гемо динаміки мали незалежні статистично значущі ко реляційні зв’язки з ДЗЛМВ як у всіх пацієнтів з ЛГ,  так і при аналізі конкретно групи ЛАГ-СЗСТ. Ра ніше проведене дослідження Guillén-Del-Castillo  та співавторів [58] підтвердило значення як по р</w:t>
      </w:r>
      <w:r>
        <w:rPr>
          <w:color w:val="231F20"/>
          <w:sz w:val="19"/>
          <w:szCs w:val="19"/>
        </w:rPr>
        <w:t xml:space="preserve">ушення гемодинаміки, так і ураження паренхі ми в зниженні ДЗМВ. </w:t>
      </w:r>
    </w:p>
    <w:p w:rsidR="001F332D" w:rsidRDefault="006E68E8">
      <w:pPr>
        <w:widowControl w:val="0"/>
        <w:pBdr>
          <w:top w:val="nil"/>
          <w:left w:val="nil"/>
          <w:bottom w:val="nil"/>
          <w:right w:val="nil"/>
          <w:between w:val="nil"/>
        </w:pBdr>
        <w:spacing w:before="8" w:line="245" w:lineRule="auto"/>
        <w:ind w:left="116" w:right="6" w:firstLine="298"/>
        <w:rPr>
          <w:color w:val="231F20"/>
          <w:sz w:val="19"/>
          <w:szCs w:val="19"/>
        </w:rPr>
        <w:sectPr w:rsidR="001F332D">
          <w:type w:val="continuous"/>
          <w:pgSz w:w="11320" w:h="16040"/>
          <w:pgMar w:top="494" w:right="671" w:bottom="587" w:left="1133" w:header="0" w:footer="720" w:gutter="0"/>
          <w:cols w:num="2" w:space="720" w:equalWidth="0">
            <w:col w:w="4760" w:space="0"/>
            <w:col w:w="4760" w:space="0"/>
          </w:cols>
        </w:sectPr>
      </w:pPr>
      <w:r>
        <w:rPr>
          <w:color w:val="231F20"/>
          <w:sz w:val="19"/>
          <w:szCs w:val="19"/>
        </w:rPr>
        <w:t>Незалежна статистично значуща кореляція по казників ФЗД (ЖЄЛ, ФЖЄЛ, ОФВ</w:t>
      </w:r>
      <w:r>
        <w:rPr>
          <w:color w:val="231F20"/>
          <w:sz w:val="18"/>
          <w:szCs w:val="18"/>
          <w:vertAlign w:val="subscript"/>
        </w:rPr>
        <w:t>1</w:t>
      </w:r>
      <w:r>
        <w:rPr>
          <w:color w:val="231F20"/>
          <w:sz w:val="19"/>
          <w:szCs w:val="19"/>
        </w:rPr>
        <w:t>) із насиченням  вуглекислого газу (рСО</w:t>
      </w:r>
      <w:r>
        <w:rPr>
          <w:color w:val="231F20"/>
          <w:sz w:val="18"/>
          <w:szCs w:val="18"/>
          <w:vertAlign w:val="subscript"/>
        </w:rPr>
        <w:t>2</w:t>
      </w:r>
      <w:r>
        <w:rPr>
          <w:color w:val="231F20"/>
          <w:sz w:val="19"/>
          <w:szCs w:val="19"/>
        </w:rPr>
        <w:t>) в артеріальній крові, ви значеним прямим методо</w:t>
      </w:r>
      <w:r>
        <w:rPr>
          <w:color w:val="231F20"/>
          <w:sz w:val="19"/>
          <w:szCs w:val="19"/>
        </w:rPr>
        <w:t>м газового аналізу під  час КПС, у групі ЛАГ-СЗСТ, може пояснюватися  затримкою СО</w:t>
      </w:r>
      <w:r>
        <w:rPr>
          <w:color w:val="231F20"/>
          <w:sz w:val="18"/>
          <w:szCs w:val="18"/>
          <w:vertAlign w:val="subscript"/>
        </w:rPr>
        <w:t>2</w:t>
      </w:r>
      <w:r>
        <w:rPr>
          <w:color w:val="231F20"/>
          <w:sz w:val="19"/>
          <w:szCs w:val="19"/>
        </w:rPr>
        <w:t>, пов’язаною із гіповентиляцією,  викликаною ураженням легеневого інтерстицію  або ж дихальних м’язів унаслідок супутнього ло кального запального процесу у них. Набагато важ</w:t>
      </w:r>
      <w:r>
        <w:rPr>
          <w:color w:val="231F20"/>
          <w:sz w:val="19"/>
          <w:szCs w:val="19"/>
        </w:rPr>
        <w:t xml:space="preserve"> ливішим видається визначення колабування НПВ  у якості предиктора зниження ЗЄЛ. Такий зв’язок  можна пояснити залежністю ступеня колабуван ня НПВ від центрального венозного тиску та якіс тю дихальної механіки у згаданої групи пацієнтів.  Згідно з результа</w:t>
      </w:r>
      <w:r>
        <w:rPr>
          <w:color w:val="231F20"/>
          <w:sz w:val="19"/>
          <w:szCs w:val="19"/>
        </w:rPr>
        <w:t xml:space="preserve">тами нещодавнього досліджен ня Chaigne та співавторів (2025), ЗЄЛ вважається  кращим прогностичним фактором для пацієнтів із  системним склерозом, ніж ФЖЄЛ [59]. </w:t>
      </w:r>
    </w:p>
    <w:p w:rsidR="001F332D" w:rsidRDefault="006E68E8">
      <w:pPr>
        <w:widowControl w:val="0"/>
        <w:pBdr>
          <w:top w:val="nil"/>
          <w:left w:val="nil"/>
          <w:bottom w:val="nil"/>
          <w:right w:val="nil"/>
          <w:between w:val="nil"/>
        </w:pBdr>
        <w:spacing w:before="155" w:line="240" w:lineRule="auto"/>
        <w:ind w:right="235"/>
        <w:jc w:val="right"/>
        <w:rPr>
          <w:color w:val="FFFFFF"/>
          <w:sz w:val="24"/>
          <w:szCs w:val="24"/>
        </w:rPr>
        <w:sectPr w:rsidR="001F332D">
          <w:type w:val="continuous"/>
          <w:pgSz w:w="11320" w:h="16040"/>
          <w:pgMar w:top="494" w:right="689" w:bottom="587" w:left="733" w:header="0" w:footer="720" w:gutter="0"/>
          <w:cols w:space="720" w:equalWidth="0">
            <w:col w:w="9897" w:space="0"/>
          </w:cols>
        </w:sectPr>
      </w:pPr>
      <w:r>
        <w:rPr>
          <w:color w:val="485E88"/>
          <w:sz w:val="26"/>
          <w:szCs w:val="26"/>
          <w:vertAlign w:val="superscript"/>
        </w:rPr>
        <w:lastRenderedPageBreak/>
        <w:t xml:space="preserve">УКРАЇНСЬКИЙ РЕВМАТОЛОГІЧНИЙ ЖУРНАЛ • № 1 (99) • 2025 </w:t>
      </w:r>
      <w:r>
        <w:rPr>
          <w:color w:val="FFFFFF"/>
          <w:sz w:val="24"/>
          <w:szCs w:val="24"/>
        </w:rPr>
        <w:t xml:space="preserve">7 </w:t>
      </w:r>
    </w:p>
    <w:p w:rsidR="001F332D" w:rsidRDefault="006E68E8">
      <w:pPr>
        <w:widowControl w:val="0"/>
        <w:pBdr>
          <w:top w:val="nil"/>
          <w:left w:val="nil"/>
          <w:bottom w:val="nil"/>
          <w:right w:val="nil"/>
          <w:between w:val="nil"/>
        </w:pBdr>
        <w:spacing w:line="240" w:lineRule="auto"/>
        <w:ind w:left="17"/>
        <w:rPr>
          <w:color w:val="485E88"/>
          <w:sz w:val="24"/>
          <w:szCs w:val="24"/>
        </w:rPr>
      </w:pPr>
      <w:r>
        <w:rPr>
          <w:color w:val="485E88"/>
          <w:sz w:val="24"/>
          <w:szCs w:val="24"/>
        </w:rPr>
        <w:lastRenderedPageBreak/>
        <w:t>ВЛАСНІ СПОСТЕРЕЖЕННЯ</w:t>
      </w:r>
    </w:p>
    <w:p w:rsidR="001F332D" w:rsidRDefault="006E68E8">
      <w:pPr>
        <w:widowControl w:val="0"/>
        <w:pBdr>
          <w:top w:val="nil"/>
          <w:left w:val="nil"/>
          <w:bottom w:val="nil"/>
          <w:right w:val="nil"/>
          <w:between w:val="nil"/>
        </w:pBdr>
        <w:spacing w:before="72" w:line="240" w:lineRule="auto"/>
        <w:ind w:left="298"/>
        <w:rPr>
          <w:b/>
          <w:color w:val="485E88"/>
          <w:sz w:val="20"/>
          <w:szCs w:val="20"/>
        </w:rPr>
      </w:pPr>
      <w:r>
        <w:rPr>
          <w:b/>
          <w:color w:val="485E88"/>
          <w:sz w:val="20"/>
          <w:szCs w:val="20"/>
        </w:rPr>
        <w:t xml:space="preserve">ВИСНОВКИ </w:t>
      </w:r>
    </w:p>
    <w:p w:rsidR="001F332D" w:rsidRDefault="006E68E8">
      <w:pPr>
        <w:widowControl w:val="0"/>
        <w:pBdr>
          <w:top w:val="nil"/>
          <w:left w:val="nil"/>
          <w:bottom w:val="nil"/>
          <w:right w:val="nil"/>
          <w:between w:val="nil"/>
        </w:pBdr>
        <w:spacing w:before="63" w:line="241" w:lineRule="auto"/>
        <w:ind w:left="7" w:right="122" w:firstLine="299"/>
        <w:rPr>
          <w:color w:val="231F20"/>
          <w:sz w:val="19"/>
          <w:szCs w:val="19"/>
        </w:rPr>
      </w:pPr>
      <w:r>
        <w:rPr>
          <w:color w:val="231F20"/>
          <w:sz w:val="19"/>
          <w:szCs w:val="19"/>
        </w:rPr>
        <w:t xml:space="preserve">1. Серед обстежених груп пацієнти із ЛАГ-ВВС  мали найгірші показники ФЗД, а хворі із ЛАГ СЗСТ — найнижчу ДЗЛМВ. </w:t>
      </w:r>
    </w:p>
    <w:p w:rsidR="001F332D" w:rsidRDefault="006E68E8">
      <w:pPr>
        <w:widowControl w:val="0"/>
        <w:pBdr>
          <w:top w:val="nil"/>
          <w:left w:val="nil"/>
          <w:bottom w:val="nil"/>
          <w:right w:val="nil"/>
          <w:between w:val="nil"/>
        </w:pBdr>
        <w:spacing w:before="6" w:line="241" w:lineRule="auto"/>
        <w:ind w:right="124" w:firstLine="292"/>
        <w:rPr>
          <w:color w:val="231F20"/>
          <w:sz w:val="19"/>
          <w:szCs w:val="19"/>
        </w:rPr>
      </w:pPr>
      <w:r>
        <w:rPr>
          <w:color w:val="231F20"/>
          <w:sz w:val="19"/>
          <w:szCs w:val="19"/>
        </w:rPr>
        <w:t xml:space="preserve">2. Значне зниження ДЗЛМВ та ЗЄЛ у пацієн тів із СЗСТ на фоні майже нормальних показни ків ФЗД підтвердило необхідність їх визначення  у всіх хворих із СЗСТ, які мають ЛГ. </w:t>
      </w:r>
    </w:p>
    <w:p w:rsidR="001F332D" w:rsidRDefault="006E68E8">
      <w:pPr>
        <w:widowControl w:val="0"/>
        <w:pBdr>
          <w:top w:val="nil"/>
          <w:left w:val="nil"/>
          <w:bottom w:val="nil"/>
          <w:right w:val="nil"/>
          <w:between w:val="nil"/>
        </w:pBdr>
        <w:spacing w:before="6" w:line="241" w:lineRule="auto"/>
        <w:ind w:left="1" w:right="124" w:firstLine="288"/>
        <w:rPr>
          <w:color w:val="231F20"/>
          <w:sz w:val="19"/>
          <w:szCs w:val="19"/>
        </w:rPr>
      </w:pPr>
      <w:r>
        <w:rPr>
          <w:color w:val="231F20"/>
          <w:sz w:val="19"/>
          <w:szCs w:val="19"/>
        </w:rPr>
        <w:t>3. У пацієнтів із СЗСТ показники саме ДЗЛМВ  та ЗЄЛ достовірно асоціювалися з функці</w:t>
      </w:r>
      <w:r>
        <w:rPr>
          <w:color w:val="231F20"/>
          <w:sz w:val="19"/>
          <w:szCs w:val="19"/>
        </w:rPr>
        <w:t xml:space="preserve">ональ ним станом пацієнтів (дистанцією 6ХТ) та пору шенням гемодинаміки (вищим тиском в легене вій артерії та ПП). </w:t>
      </w:r>
    </w:p>
    <w:p w:rsidR="001F332D" w:rsidRDefault="006E68E8">
      <w:pPr>
        <w:widowControl w:val="0"/>
        <w:pBdr>
          <w:top w:val="nil"/>
          <w:left w:val="nil"/>
          <w:bottom w:val="nil"/>
          <w:right w:val="nil"/>
          <w:between w:val="nil"/>
        </w:pBdr>
        <w:spacing w:before="236" w:line="241" w:lineRule="auto"/>
        <w:ind w:left="1" w:right="183" w:firstLine="280"/>
        <w:rPr>
          <w:color w:val="231F20"/>
          <w:sz w:val="19"/>
          <w:szCs w:val="19"/>
        </w:rPr>
      </w:pPr>
      <w:r>
        <w:rPr>
          <w:color w:val="231F20"/>
          <w:sz w:val="19"/>
          <w:szCs w:val="19"/>
        </w:rPr>
        <w:t xml:space="preserve">Автори повідомляють про відсутність конфлік ту </w:t>
      </w:r>
      <w:r>
        <w:rPr>
          <w:color w:val="231F20"/>
          <w:sz w:val="19"/>
          <w:szCs w:val="19"/>
        </w:rPr>
        <w:lastRenderedPageBreak/>
        <w:t xml:space="preserve">інтересів. </w:t>
      </w:r>
    </w:p>
    <w:p w:rsidR="001F332D" w:rsidRDefault="006E68E8">
      <w:pPr>
        <w:widowControl w:val="0"/>
        <w:pBdr>
          <w:top w:val="nil"/>
          <w:left w:val="nil"/>
          <w:bottom w:val="nil"/>
          <w:right w:val="nil"/>
          <w:between w:val="nil"/>
        </w:pBdr>
        <w:spacing w:before="6" w:line="241" w:lineRule="auto"/>
        <w:ind w:left="1" w:right="124"/>
        <w:jc w:val="right"/>
        <w:rPr>
          <w:color w:val="231F20"/>
          <w:sz w:val="19"/>
          <w:szCs w:val="19"/>
        </w:rPr>
      </w:pPr>
      <w:r>
        <w:rPr>
          <w:color w:val="231F20"/>
          <w:sz w:val="19"/>
          <w:szCs w:val="19"/>
        </w:rPr>
        <w:t xml:space="preserve">Участь авторів: концепція та проєкт досліджен ня — Г. Радченко, О. Борткевич; збір матеріалу,  статистичне опрацювання даних, огляд літера тури — С. Прогонов; написання статті та редагу вання — С. Прогонов, Г. Радченко, О. Борткевич. </w:t>
      </w:r>
    </w:p>
    <w:p w:rsidR="001F332D" w:rsidRDefault="006E68E8">
      <w:pPr>
        <w:widowControl w:val="0"/>
        <w:pBdr>
          <w:top w:val="nil"/>
          <w:left w:val="nil"/>
          <w:bottom w:val="nil"/>
          <w:right w:val="nil"/>
          <w:between w:val="nil"/>
        </w:pBdr>
        <w:spacing w:before="178" w:line="243" w:lineRule="auto"/>
        <w:ind w:left="6" w:right="129" w:firstLine="286"/>
        <w:rPr>
          <w:color w:val="231F20"/>
          <w:sz w:val="17"/>
          <w:szCs w:val="17"/>
        </w:rPr>
      </w:pPr>
      <w:r>
        <w:rPr>
          <w:b/>
          <w:color w:val="485E88"/>
          <w:sz w:val="20"/>
          <w:szCs w:val="20"/>
        </w:rPr>
        <w:t>СПИСОК ВИКОРИСТАНОЇ Л</w:t>
      </w:r>
      <w:r>
        <w:rPr>
          <w:b/>
          <w:color w:val="485E88"/>
          <w:sz w:val="20"/>
          <w:szCs w:val="20"/>
        </w:rPr>
        <w:t xml:space="preserve">ІТЕРАТУРИ </w:t>
      </w:r>
      <w:r>
        <w:rPr>
          <w:b/>
          <w:color w:val="231F20"/>
          <w:sz w:val="17"/>
          <w:szCs w:val="17"/>
        </w:rPr>
        <w:t xml:space="preserve">1. Humbert M., Kovacs G., Hoeper M.M. et al. </w:t>
      </w:r>
      <w:r>
        <w:rPr>
          <w:color w:val="231F20"/>
          <w:sz w:val="17"/>
          <w:szCs w:val="17"/>
        </w:rPr>
        <w:t xml:space="preserve">(2022)  2022 ESC/ERS Guidelines for the diagnosis and treatment of pulmonary  hypertension. European Heart Journal, 43(38). doi.org/10.1093/ eurheartj/ehac237. </w:t>
      </w:r>
    </w:p>
    <w:p w:rsidR="001F332D" w:rsidRDefault="006E68E8">
      <w:pPr>
        <w:widowControl w:val="0"/>
        <w:pBdr>
          <w:top w:val="nil"/>
          <w:left w:val="nil"/>
          <w:bottom w:val="nil"/>
          <w:right w:val="nil"/>
          <w:between w:val="nil"/>
        </w:pBdr>
        <w:spacing w:line="228" w:lineRule="auto"/>
        <w:ind w:left="9" w:right="126" w:firstLine="282"/>
        <w:jc w:val="both"/>
        <w:rPr>
          <w:color w:val="231F20"/>
          <w:sz w:val="17"/>
          <w:szCs w:val="17"/>
        </w:rPr>
      </w:pPr>
      <w:r>
        <w:rPr>
          <w:b/>
          <w:color w:val="231F20"/>
          <w:sz w:val="17"/>
          <w:szCs w:val="17"/>
        </w:rPr>
        <w:t xml:space="preserve">2. Zanatta E., Polito P., Famoso G. et al. </w:t>
      </w:r>
      <w:r>
        <w:rPr>
          <w:color w:val="231F20"/>
          <w:sz w:val="17"/>
          <w:szCs w:val="17"/>
        </w:rPr>
        <w:t xml:space="preserve">(2019)  Pulmonary arterial hypertension in connective tissue disorders:  Pathophysiology and treatment. Journal of Clinical Rheumatology,  25(1): 1–7. doi.org/10.1177/1535370218824101. </w:t>
      </w:r>
    </w:p>
    <w:p w:rsidR="001F332D" w:rsidRDefault="006E68E8">
      <w:pPr>
        <w:widowControl w:val="0"/>
        <w:pBdr>
          <w:top w:val="nil"/>
          <w:left w:val="nil"/>
          <w:bottom w:val="nil"/>
          <w:right w:val="nil"/>
          <w:between w:val="nil"/>
        </w:pBdr>
        <w:spacing w:before="4" w:line="228" w:lineRule="auto"/>
        <w:ind w:left="6" w:right="126" w:firstLine="283"/>
        <w:rPr>
          <w:color w:val="231F20"/>
          <w:sz w:val="17"/>
          <w:szCs w:val="17"/>
        </w:rPr>
      </w:pPr>
      <w:r>
        <w:rPr>
          <w:b/>
          <w:color w:val="231F20"/>
          <w:sz w:val="17"/>
          <w:szCs w:val="17"/>
        </w:rPr>
        <w:t xml:space="preserve">3. Almaaitah S., Highland K.B., Tonelli A.R. </w:t>
      </w:r>
      <w:r>
        <w:rPr>
          <w:color w:val="231F20"/>
          <w:sz w:val="17"/>
          <w:szCs w:val="17"/>
        </w:rPr>
        <w:t xml:space="preserve">(2020)  Management of Pulmonary Arterial Hypertension in Patients </w:t>
      </w:r>
      <w:r>
        <w:rPr>
          <w:color w:val="231F20"/>
          <w:sz w:val="17"/>
          <w:szCs w:val="17"/>
        </w:rPr>
        <w:lastRenderedPageBreak/>
        <w:t xml:space="preserve">with  Systemic Sclerosis. Integrated Blood Pressure Control, 13: 15–29. doi. org/10.2147/IBPC.S232038. </w:t>
      </w:r>
    </w:p>
    <w:p w:rsidR="001F332D" w:rsidRDefault="006E68E8">
      <w:pPr>
        <w:widowControl w:val="0"/>
        <w:pBdr>
          <w:top w:val="nil"/>
          <w:left w:val="nil"/>
          <w:bottom w:val="nil"/>
          <w:right w:val="nil"/>
          <w:between w:val="nil"/>
        </w:pBdr>
        <w:spacing w:before="4" w:line="228" w:lineRule="auto"/>
        <w:ind w:left="6" w:right="126" w:firstLine="283"/>
        <w:rPr>
          <w:color w:val="231F20"/>
          <w:sz w:val="17"/>
          <w:szCs w:val="17"/>
        </w:rPr>
      </w:pPr>
      <w:r>
        <w:rPr>
          <w:b/>
          <w:color w:val="231F20"/>
          <w:sz w:val="17"/>
          <w:szCs w:val="17"/>
        </w:rPr>
        <w:t>4. Launay D., Sobanski V., Hachulla E., H</w:t>
      </w:r>
      <w:r>
        <w:rPr>
          <w:b/>
          <w:color w:val="231F20"/>
          <w:sz w:val="17"/>
          <w:szCs w:val="17"/>
        </w:rPr>
        <w:t xml:space="preserve">umbert M.  </w:t>
      </w:r>
      <w:r>
        <w:rPr>
          <w:color w:val="231F20"/>
          <w:sz w:val="17"/>
          <w:szCs w:val="17"/>
        </w:rPr>
        <w:t xml:space="preserve">(2017) Pulmonary hypertension in systemic sclerosis: different  phenotypes. European Respiratory Review, 26(145): 170056. doi. org/10.1183/16000617.0056-2017. </w:t>
      </w:r>
    </w:p>
    <w:p w:rsidR="001F332D" w:rsidRDefault="006E68E8">
      <w:pPr>
        <w:widowControl w:val="0"/>
        <w:pBdr>
          <w:top w:val="nil"/>
          <w:left w:val="nil"/>
          <w:bottom w:val="nil"/>
          <w:right w:val="nil"/>
          <w:between w:val="nil"/>
        </w:pBdr>
        <w:spacing w:before="4" w:line="228" w:lineRule="auto"/>
        <w:ind w:left="5" w:right="128" w:firstLine="286"/>
        <w:rPr>
          <w:color w:val="231F20"/>
          <w:sz w:val="17"/>
          <w:szCs w:val="17"/>
        </w:rPr>
      </w:pPr>
      <w:r>
        <w:rPr>
          <w:b/>
          <w:color w:val="231F20"/>
          <w:sz w:val="17"/>
          <w:szCs w:val="17"/>
        </w:rPr>
        <w:t xml:space="preserve">5. Lambova S. </w:t>
      </w:r>
      <w:r>
        <w:rPr>
          <w:color w:val="231F20"/>
          <w:sz w:val="17"/>
          <w:szCs w:val="17"/>
        </w:rPr>
        <w:t xml:space="preserve">(2014) Cardiac manifestations in systemic  sclerosis. World Journal of </w:t>
      </w:r>
      <w:r>
        <w:rPr>
          <w:color w:val="231F20"/>
          <w:sz w:val="17"/>
          <w:szCs w:val="17"/>
        </w:rPr>
        <w:t xml:space="preserve">Cardiology, 6(9): 993–1005. doi. org/10.4330/wjc.v6.i9.993. </w:t>
      </w:r>
    </w:p>
    <w:p w:rsidR="001F332D" w:rsidRDefault="006E68E8">
      <w:pPr>
        <w:widowControl w:val="0"/>
        <w:pBdr>
          <w:top w:val="nil"/>
          <w:left w:val="nil"/>
          <w:bottom w:val="nil"/>
          <w:right w:val="nil"/>
          <w:between w:val="nil"/>
        </w:pBdr>
        <w:spacing w:before="4" w:line="228" w:lineRule="auto"/>
        <w:ind w:right="128" w:firstLine="291"/>
        <w:rPr>
          <w:color w:val="231F20"/>
          <w:sz w:val="17"/>
          <w:szCs w:val="17"/>
        </w:rPr>
      </w:pPr>
      <w:r>
        <w:rPr>
          <w:b/>
          <w:color w:val="231F20"/>
          <w:sz w:val="17"/>
          <w:szCs w:val="17"/>
        </w:rPr>
        <w:t xml:space="preserve">6. Schoenfeld S.R., Choi H.K., Sayre E.C., Aviña Zubieta J.A. </w:t>
      </w:r>
      <w:r>
        <w:rPr>
          <w:color w:val="231F20"/>
          <w:sz w:val="17"/>
          <w:szCs w:val="17"/>
        </w:rPr>
        <w:t xml:space="preserve">(2016) Risk of Pulmonary Embolism and Deep Venous  Thrombosis in Systemic Sclerosis: A General Population-Based  Study. Arthritis Care &amp; Research, 68(2): 246–253. doi.org/10.1002/ acr.22673. </w:t>
      </w:r>
    </w:p>
    <w:p w:rsidR="001F332D" w:rsidRDefault="006E68E8">
      <w:pPr>
        <w:widowControl w:val="0"/>
        <w:pBdr>
          <w:top w:val="nil"/>
          <w:left w:val="nil"/>
          <w:bottom w:val="nil"/>
          <w:right w:val="nil"/>
          <w:between w:val="nil"/>
        </w:pBdr>
        <w:spacing w:before="4" w:line="228" w:lineRule="auto"/>
        <w:ind w:left="5" w:right="128" w:firstLine="283"/>
        <w:jc w:val="both"/>
        <w:rPr>
          <w:color w:val="231F20"/>
          <w:sz w:val="17"/>
          <w:szCs w:val="17"/>
        </w:rPr>
      </w:pPr>
      <w:r>
        <w:rPr>
          <w:b/>
          <w:color w:val="231F20"/>
          <w:sz w:val="17"/>
          <w:szCs w:val="17"/>
        </w:rPr>
        <w:t xml:space="preserve">7. Ungprasert P., Srivali N., Kittanamongkolchai W.  </w:t>
      </w:r>
      <w:r>
        <w:rPr>
          <w:color w:val="231F20"/>
          <w:sz w:val="17"/>
          <w:szCs w:val="17"/>
        </w:rPr>
        <w:t>(2015) Syst</w:t>
      </w:r>
      <w:r>
        <w:rPr>
          <w:color w:val="231F20"/>
          <w:sz w:val="17"/>
          <w:szCs w:val="17"/>
        </w:rPr>
        <w:t xml:space="preserve">emic sclerosis and risk of venous thromboembolism: A  systematic review and meta-analysis. Modern Rheumatology, 25(6):  893–897. doi.org/10.3109/14397595.2015.1038456. </w:t>
      </w:r>
    </w:p>
    <w:p w:rsidR="001F332D" w:rsidRDefault="006E68E8">
      <w:pPr>
        <w:widowControl w:val="0"/>
        <w:pBdr>
          <w:top w:val="nil"/>
          <w:left w:val="nil"/>
          <w:bottom w:val="nil"/>
          <w:right w:val="nil"/>
          <w:between w:val="nil"/>
        </w:pBdr>
        <w:spacing w:before="4" w:line="228" w:lineRule="auto"/>
        <w:ind w:left="1" w:right="125" w:firstLine="289"/>
        <w:jc w:val="both"/>
        <w:rPr>
          <w:color w:val="231F20"/>
          <w:sz w:val="17"/>
          <w:szCs w:val="17"/>
        </w:rPr>
      </w:pPr>
      <w:r>
        <w:rPr>
          <w:b/>
          <w:color w:val="231F20"/>
          <w:sz w:val="17"/>
          <w:szCs w:val="17"/>
        </w:rPr>
        <w:t xml:space="preserve">8. Chung W.S., Lin C.L., Sung F.C. et al. </w:t>
      </w:r>
      <w:r>
        <w:rPr>
          <w:color w:val="231F20"/>
          <w:sz w:val="17"/>
          <w:szCs w:val="17"/>
        </w:rPr>
        <w:t>(2014) Systemic  sclerosis increases the risk</w:t>
      </w:r>
      <w:r>
        <w:rPr>
          <w:color w:val="231F20"/>
          <w:sz w:val="17"/>
          <w:szCs w:val="17"/>
        </w:rPr>
        <w:t xml:space="preserve">s of deep vein thrombosis and pulmonary  thromboembolism: a nationwide cohort study. Rheumatology, 53(9):  1639–1645. doi.org/10.1093/rheumatology/keu133. </w:t>
      </w:r>
    </w:p>
    <w:p w:rsidR="001F332D" w:rsidRDefault="006E68E8">
      <w:pPr>
        <w:widowControl w:val="0"/>
        <w:pBdr>
          <w:top w:val="nil"/>
          <w:left w:val="nil"/>
          <w:bottom w:val="nil"/>
          <w:right w:val="nil"/>
          <w:between w:val="nil"/>
        </w:pBdr>
        <w:spacing w:before="4" w:line="228" w:lineRule="auto"/>
        <w:ind w:left="1" w:right="127" w:firstLine="289"/>
        <w:jc w:val="both"/>
        <w:rPr>
          <w:color w:val="231F20"/>
          <w:sz w:val="17"/>
          <w:szCs w:val="17"/>
        </w:rPr>
      </w:pPr>
      <w:r>
        <w:rPr>
          <w:b/>
          <w:color w:val="231F20"/>
          <w:sz w:val="17"/>
          <w:szCs w:val="17"/>
        </w:rPr>
        <w:t xml:space="preserve">9. Lefèvre G., Dauchet L., Hachulla E. et al. </w:t>
      </w:r>
      <w:r>
        <w:rPr>
          <w:color w:val="231F20"/>
          <w:sz w:val="17"/>
          <w:szCs w:val="17"/>
        </w:rPr>
        <w:t xml:space="preserve">(2013)  Survival and prognostic factors in systemic sclerosis-associated  pulmonary hypertension: a systematic review and meta-analysis.  Arthritis and Rheumatism, 65(9): 2412–2423. doi.org/10.1002/ art.38029. </w:t>
      </w:r>
    </w:p>
    <w:p w:rsidR="001F332D" w:rsidRDefault="006E68E8">
      <w:pPr>
        <w:widowControl w:val="0"/>
        <w:pBdr>
          <w:top w:val="nil"/>
          <w:left w:val="nil"/>
          <w:bottom w:val="nil"/>
          <w:right w:val="nil"/>
          <w:between w:val="nil"/>
        </w:pBdr>
        <w:spacing w:before="4" w:line="228" w:lineRule="auto"/>
        <w:ind w:right="128" w:firstLine="298"/>
        <w:rPr>
          <w:color w:val="231F20"/>
          <w:sz w:val="17"/>
          <w:szCs w:val="17"/>
        </w:rPr>
      </w:pPr>
      <w:r>
        <w:rPr>
          <w:b/>
          <w:color w:val="231F20"/>
          <w:sz w:val="17"/>
          <w:szCs w:val="17"/>
        </w:rPr>
        <w:t>10. Cappelli S., Bellando Randone S., Camicio</w:t>
      </w:r>
      <w:r>
        <w:rPr>
          <w:b/>
          <w:color w:val="231F20"/>
          <w:sz w:val="17"/>
          <w:szCs w:val="17"/>
        </w:rPr>
        <w:t xml:space="preserve">ttoli G.  et al. </w:t>
      </w:r>
      <w:r>
        <w:rPr>
          <w:color w:val="231F20"/>
          <w:sz w:val="17"/>
          <w:szCs w:val="17"/>
        </w:rPr>
        <w:t xml:space="preserve">(2015) Interstitial lung disease in systemic sclerosis: where do  we stand?. European Respiratory Review, 24(137): 411–419. doi. org/10.1183/16000617.00002915. </w:t>
      </w:r>
    </w:p>
    <w:p w:rsidR="001F332D" w:rsidRDefault="006E68E8">
      <w:pPr>
        <w:widowControl w:val="0"/>
        <w:pBdr>
          <w:top w:val="nil"/>
          <w:left w:val="nil"/>
          <w:bottom w:val="nil"/>
          <w:right w:val="nil"/>
          <w:between w:val="nil"/>
        </w:pBdr>
        <w:spacing w:before="4" w:line="239" w:lineRule="auto"/>
        <w:ind w:left="7" w:right="128" w:firstLine="291"/>
        <w:rPr>
          <w:color w:val="231F20"/>
          <w:sz w:val="17"/>
          <w:szCs w:val="17"/>
        </w:rPr>
      </w:pPr>
      <w:r>
        <w:rPr>
          <w:b/>
          <w:color w:val="231F20"/>
          <w:sz w:val="17"/>
          <w:szCs w:val="17"/>
        </w:rPr>
        <w:t>11. Distler O., Highland K.B., Gahlemann M. et al.;  SENSCIS Trial Investigato</w:t>
      </w:r>
      <w:r>
        <w:rPr>
          <w:b/>
          <w:color w:val="231F20"/>
          <w:sz w:val="17"/>
          <w:szCs w:val="17"/>
        </w:rPr>
        <w:t xml:space="preserve">rs </w:t>
      </w:r>
      <w:r>
        <w:rPr>
          <w:color w:val="231F20"/>
          <w:sz w:val="17"/>
          <w:szCs w:val="17"/>
        </w:rPr>
        <w:t xml:space="preserve">(2019) Nintedanib for Systemic Sclerosis </w:t>
      </w:r>
    </w:p>
    <w:p w:rsidR="001F332D" w:rsidRDefault="006E68E8">
      <w:pPr>
        <w:widowControl w:val="0"/>
        <w:pBdr>
          <w:top w:val="nil"/>
          <w:left w:val="nil"/>
          <w:bottom w:val="nil"/>
          <w:right w:val="nil"/>
          <w:between w:val="nil"/>
        </w:pBdr>
        <w:spacing w:before="351" w:line="232" w:lineRule="auto"/>
        <w:ind w:left="117" w:right="12"/>
        <w:rPr>
          <w:color w:val="231F20"/>
          <w:sz w:val="17"/>
          <w:szCs w:val="17"/>
        </w:rPr>
      </w:pPr>
      <w:r>
        <w:rPr>
          <w:color w:val="231F20"/>
          <w:sz w:val="17"/>
          <w:szCs w:val="17"/>
        </w:rPr>
        <w:t xml:space="preserve">Associated Interstitial Lung Disease. The New England Journal of  Medicine, 380(26): 2518–2528. doi.org/10.1056/NEJMoa1903076. </w:t>
      </w:r>
      <w:r>
        <w:rPr>
          <w:b/>
          <w:color w:val="231F20"/>
          <w:sz w:val="17"/>
          <w:szCs w:val="17"/>
        </w:rPr>
        <w:t xml:space="preserve">12. Young A., Vummidi D., Visovatti S. et al. </w:t>
      </w:r>
      <w:r>
        <w:rPr>
          <w:color w:val="231F20"/>
          <w:sz w:val="17"/>
          <w:szCs w:val="17"/>
        </w:rPr>
        <w:t xml:space="preserve">(2019)  Prevalence, Treatment, and Outcomes of Coexistent Pulmonary  Hypertension and Interstitial Lung Disease in Systemic Sclerosis.  Arthritis &amp; Rheumatology, 71(8): 1339–1349. doi.org/10.1002/ art.40862. </w:t>
      </w:r>
    </w:p>
    <w:p w:rsidR="001F332D" w:rsidRDefault="006E68E8">
      <w:pPr>
        <w:widowControl w:val="0"/>
        <w:pBdr>
          <w:top w:val="nil"/>
          <w:left w:val="nil"/>
          <w:bottom w:val="nil"/>
          <w:right w:val="nil"/>
          <w:between w:val="nil"/>
        </w:pBdr>
        <w:spacing w:before="4" w:line="232" w:lineRule="auto"/>
        <w:ind w:left="116" w:right="13" w:firstLine="298"/>
        <w:jc w:val="both"/>
        <w:rPr>
          <w:color w:val="231F20"/>
          <w:sz w:val="17"/>
          <w:szCs w:val="17"/>
        </w:rPr>
      </w:pPr>
      <w:r>
        <w:rPr>
          <w:b/>
          <w:color w:val="231F20"/>
          <w:sz w:val="17"/>
          <w:szCs w:val="17"/>
        </w:rPr>
        <w:t>13. Le Pavec J., Girgis R.E., Lechtzin N. et al</w:t>
      </w:r>
      <w:r>
        <w:rPr>
          <w:b/>
          <w:color w:val="231F20"/>
          <w:sz w:val="17"/>
          <w:szCs w:val="17"/>
        </w:rPr>
        <w:t xml:space="preserve">. </w:t>
      </w:r>
      <w:r>
        <w:rPr>
          <w:color w:val="231F20"/>
          <w:sz w:val="17"/>
          <w:szCs w:val="17"/>
        </w:rPr>
        <w:t xml:space="preserve">(2011)  Systemic sclerosis-related pulmonary hypertension associated with  interstitial lung disease: impact of pulmonary arterial hypertension  therapies. Arthritis and Rheumatism, 63(8): 2456–2464. doi. </w:t>
      </w:r>
    </w:p>
    <w:p w:rsidR="001F332D" w:rsidRDefault="006E68E8">
      <w:pPr>
        <w:widowControl w:val="0"/>
        <w:pBdr>
          <w:top w:val="nil"/>
          <w:left w:val="nil"/>
          <w:bottom w:val="nil"/>
          <w:right w:val="nil"/>
          <w:between w:val="nil"/>
        </w:pBdr>
        <w:spacing w:before="4" w:line="240" w:lineRule="auto"/>
        <w:ind w:left="121"/>
        <w:rPr>
          <w:color w:val="231F20"/>
          <w:sz w:val="17"/>
          <w:szCs w:val="17"/>
        </w:rPr>
      </w:pPr>
      <w:r>
        <w:rPr>
          <w:color w:val="231F20"/>
          <w:sz w:val="17"/>
          <w:szCs w:val="17"/>
        </w:rPr>
        <w:t xml:space="preserve">org/10.1002/art.30423. </w:t>
      </w:r>
    </w:p>
    <w:p w:rsidR="001F332D" w:rsidRDefault="006E68E8">
      <w:pPr>
        <w:widowControl w:val="0"/>
        <w:pBdr>
          <w:top w:val="nil"/>
          <w:left w:val="nil"/>
          <w:bottom w:val="nil"/>
          <w:right w:val="nil"/>
          <w:between w:val="nil"/>
        </w:pBdr>
        <w:spacing w:line="232" w:lineRule="auto"/>
        <w:ind w:left="121" w:right="12" w:firstLine="293"/>
        <w:rPr>
          <w:color w:val="231F20"/>
          <w:sz w:val="17"/>
          <w:szCs w:val="17"/>
        </w:rPr>
      </w:pPr>
      <w:r>
        <w:rPr>
          <w:b/>
          <w:color w:val="231F20"/>
          <w:sz w:val="17"/>
          <w:szCs w:val="17"/>
        </w:rPr>
        <w:t xml:space="preserve">14. D’Alto M., Romeo E., Argiento P. et al. </w:t>
      </w:r>
      <w:r>
        <w:rPr>
          <w:color w:val="231F20"/>
          <w:sz w:val="17"/>
          <w:szCs w:val="17"/>
        </w:rPr>
        <w:t xml:space="preserve">(2017)  Clinical Relevance of Fluid Challenge in Patients Evaluated for  Pulmonary Hypertension. Chest, 151(1): 119–126. doi.org/10.1016/j. chest.2016.08.1439. </w:t>
      </w:r>
    </w:p>
    <w:p w:rsidR="001F332D" w:rsidRDefault="006E68E8">
      <w:pPr>
        <w:widowControl w:val="0"/>
        <w:pBdr>
          <w:top w:val="nil"/>
          <w:left w:val="nil"/>
          <w:bottom w:val="nil"/>
          <w:right w:val="nil"/>
          <w:between w:val="nil"/>
        </w:pBdr>
        <w:spacing w:before="4" w:line="232" w:lineRule="auto"/>
        <w:ind w:left="120" w:right="9" w:firstLine="294"/>
        <w:jc w:val="both"/>
        <w:rPr>
          <w:color w:val="231F20"/>
          <w:sz w:val="17"/>
          <w:szCs w:val="17"/>
        </w:rPr>
      </w:pPr>
      <w:r>
        <w:rPr>
          <w:b/>
          <w:color w:val="231F20"/>
          <w:sz w:val="17"/>
          <w:szCs w:val="17"/>
        </w:rPr>
        <w:t xml:space="preserve">15. Bourji K.I., Kelemen B.W., Mathai S.C. et al. </w:t>
      </w:r>
      <w:r>
        <w:rPr>
          <w:color w:val="231F20"/>
          <w:sz w:val="17"/>
          <w:szCs w:val="17"/>
        </w:rPr>
        <w:t>(</w:t>
      </w:r>
      <w:r>
        <w:rPr>
          <w:color w:val="231F20"/>
          <w:sz w:val="17"/>
          <w:szCs w:val="17"/>
        </w:rPr>
        <w:t xml:space="preserve">2017) Poor  survival in patients with scleroderma and pulmonary hypertension due to  heart failure with preserved ejection fraction. Pulmonary Circulation, 7(2):  409–420. </w:t>
      </w:r>
      <w:r>
        <w:rPr>
          <w:color w:val="231F20"/>
          <w:sz w:val="17"/>
          <w:szCs w:val="17"/>
        </w:rPr>
        <w:lastRenderedPageBreak/>
        <w:t xml:space="preserve">doi.org/10.1177/2045893217700438. </w:t>
      </w:r>
    </w:p>
    <w:p w:rsidR="001F332D" w:rsidRDefault="006E68E8">
      <w:pPr>
        <w:widowControl w:val="0"/>
        <w:pBdr>
          <w:top w:val="nil"/>
          <w:left w:val="nil"/>
          <w:bottom w:val="nil"/>
          <w:right w:val="nil"/>
          <w:between w:val="nil"/>
        </w:pBdr>
        <w:spacing w:before="4" w:line="232" w:lineRule="auto"/>
        <w:ind w:left="116" w:right="11" w:firstLine="298"/>
        <w:jc w:val="both"/>
        <w:rPr>
          <w:color w:val="231F20"/>
          <w:sz w:val="17"/>
          <w:szCs w:val="17"/>
        </w:rPr>
      </w:pPr>
      <w:r>
        <w:rPr>
          <w:b/>
          <w:color w:val="231F20"/>
          <w:sz w:val="17"/>
          <w:szCs w:val="17"/>
        </w:rPr>
        <w:t xml:space="preserve">16. Günther S., Jaïs X., Maitre S. et al. </w:t>
      </w:r>
      <w:r>
        <w:rPr>
          <w:color w:val="231F20"/>
          <w:sz w:val="17"/>
          <w:szCs w:val="17"/>
        </w:rPr>
        <w:t xml:space="preserve">(2012) </w:t>
      </w:r>
      <w:r>
        <w:rPr>
          <w:color w:val="231F20"/>
          <w:sz w:val="17"/>
          <w:szCs w:val="17"/>
        </w:rPr>
        <w:t xml:space="preserve">Computed  tomography findings of pulmonary venoocclusive disease in scleroderma  patients presenting with precapillary pulmonary hypertension. Arthritis  and Rheumatism, 64(9): 2995–3005. doi.org/10.1002/art.34501. </w:t>
      </w:r>
    </w:p>
    <w:p w:rsidR="001F332D" w:rsidRDefault="006E68E8">
      <w:pPr>
        <w:widowControl w:val="0"/>
        <w:pBdr>
          <w:top w:val="nil"/>
          <w:left w:val="nil"/>
          <w:bottom w:val="nil"/>
          <w:right w:val="nil"/>
          <w:between w:val="nil"/>
        </w:pBdr>
        <w:spacing w:before="4" w:line="232" w:lineRule="auto"/>
        <w:ind w:left="121" w:right="12" w:firstLine="293"/>
        <w:jc w:val="both"/>
        <w:rPr>
          <w:color w:val="231F20"/>
          <w:sz w:val="17"/>
          <w:szCs w:val="17"/>
        </w:rPr>
      </w:pPr>
      <w:r>
        <w:rPr>
          <w:b/>
          <w:color w:val="231F20"/>
          <w:sz w:val="17"/>
          <w:szCs w:val="17"/>
        </w:rPr>
        <w:t xml:space="preserve">17. Simonneau G., Montani D., Celermajer D.S. et al.  </w:t>
      </w:r>
      <w:r>
        <w:rPr>
          <w:color w:val="231F20"/>
          <w:sz w:val="17"/>
          <w:szCs w:val="17"/>
        </w:rPr>
        <w:t xml:space="preserve">(2019) Haemodynamic definitions and updated clinical classification  of pulmonary hypertension. The European Respiratory Journal, 53(1):  1801913. doi.org/10.1183/13993003.01913-2018. </w:t>
      </w:r>
    </w:p>
    <w:p w:rsidR="001F332D" w:rsidRDefault="006E68E8">
      <w:pPr>
        <w:widowControl w:val="0"/>
        <w:pBdr>
          <w:top w:val="nil"/>
          <w:left w:val="nil"/>
          <w:bottom w:val="nil"/>
          <w:right w:val="nil"/>
          <w:between w:val="nil"/>
        </w:pBdr>
        <w:spacing w:before="4" w:line="232" w:lineRule="auto"/>
        <w:ind w:left="121" w:right="12" w:firstLine="293"/>
        <w:jc w:val="both"/>
        <w:rPr>
          <w:color w:val="231F20"/>
          <w:sz w:val="17"/>
          <w:szCs w:val="17"/>
        </w:rPr>
      </w:pPr>
      <w:r>
        <w:rPr>
          <w:b/>
          <w:color w:val="231F20"/>
          <w:sz w:val="17"/>
          <w:szCs w:val="17"/>
        </w:rPr>
        <w:t>18. Moreno-Macías</w:t>
      </w:r>
      <w:r>
        <w:rPr>
          <w:b/>
          <w:color w:val="231F20"/>
          <w:sz w:val="17"/>
          <w:szCs w:val="17"/>
        </w:rPr>
        <w:t xml:space="preserve"> H., Dockery D.W., Schwartz J. et al.  </w:t>
      </w:r>
      <w:r>
        <w:rPr>
          <w:color w:val="231F20"/>
          <w:sz w:val="17"/>
          <w:szCs w:val="17"/>
        </w:rPr>
        <w:t xml:space="preserve">(2013) Ozone exposure, vitamin C intake, and genetic susceptibility  of asthmatic children in Mexico City: a cohort study. Respiratory  Research, 14(1): 14–4. doi.org/10.1186/1465-9921-14-14. </w:t>
      </w:r>
    </w:p>
    <w:p w:rsidR="001F332D" w:rsidRDefault="006E68E8">
      <w:pPr>
        <w:widowControl w:val="0"/>
        <w:pBdr>
          <w:top w:val="nil"/>
          <w:left w:val="nil"/>
          <w:bottom w:val="nil"/>
          <w:right w:val="nil"/>
          <w:between w:val="nil"/>
        </w:pBdr>
        <w:spacing w:before="4" w:line="232" w:lineRule="auto"/>
        <w:ind w:left="125" w:right="13" w:firstLine="289"/>
        <w:jc w:val="both"/>
        <w:rPr>
          <w:color w:val="231F20"/>
          <w:sz w:val="17"/>
          <w:szCs w:val="17"/>
        </w:rPr>
      </w:pPr>
      <w:r>
        <w:rPr>
          <w:b/>
          <w:color w:val="231F20"/>
          <w:sz w:val="17"/>
          <w:szCs w:val="17"/>
        </w:rPr>
        <w:t>19. Hughes J.M.B., Pride</w:t>
      </w:r>
      <w:r>
        <w:rPr>
          <w:b/>
          <w:color w:val="231F20"/>
          <w:sz w:val="17"/>
          <w:szCs w:val="17"/>
        </w:rPr>
        <w:t xml:space="preserve"> N.B. </w:t>
      </w:r>
      <w:r>
        <w:rPr>
          <w:color w:val="231F20"/>
          <w:sz w:val="17"/>
          <w:szCs w:val="17"/>
        </w:rPr>
        <w:t xml:space="preserve">(2001) In defence of the carbon  monoxide transfer coefficient KCO (TL/VA). European Respiratory Journal,  17(2): 168–174. doi.org/10.1183/09031936.01.17201680. </w:t>
      </w:r>
    </w:p>
    <w:p w:rsidR="001F332D" w:rsidRDefault="006E68E8">
      <w:pPr>
        <w:widowControl w:val="0"/>
        <w:pBdr>
          <w:top w:val="nil"/>
          <w:left w:val="nil"/>
          <w:bottom w:val="nil"/>
          <w:right w:val="nil"/>
          <w:between w:val="nil"/>
        </w:pBdr>
        <w:spacing w:before="4" w:line="232" w:lineRule="auto"/>
        <w:ind w:left="118" w:right="13" w:firstLine="289"/>
        <w:jc w:val="both"/>
        <w:rPr>
          <w:color w:val="231F20"/>
          <w:sz w:val="17"/>
          <w:szCs w:val="17"/>
        </w:rPr>
      </w:pPr>
      <w:r>
        <w:rPr>
          <w:b/>
          <w:color w:val="231F20"/>
          <w:sz w:val="17"/>
          <w:szCs w:val="17"/>
        </w:rPr>
        <w:t xml:space="preserve">20. Hyatt R.E., Scanlon P.D., Nakamura M. </w:t>
      </w:r>
      <w:r>
        <w:rPr>
          <w:color w:val="231F20"/>
          <w:sz w:val="17"/>
          <w:szCs w:val="17"/>
        </w:rPr>
        <w:t>(2014)  Interpretation of Pulmonary Function T</w:t>
      </w:r>
      <w:r>
        <w:rPr>
          <w:color w:val="231F20"/>
          <w:sz w:val="17"/>
          <w:szCs w:val="17"/>
        </w:rPr>
        <w:t xml:space="preserve">ests (p. 41). Lippincott Williams &amp;  Wilkins. </w:t>
      </w:r>
    </w:p>
    <w:p w:rsidR="001F332D" w:rsidRDefault="006E68E8">
      <w:pPr>
        <w:widowControl w:val="0"/>
        <w:pBdr>
          <w:top w:val="nil"/>
          <w:left w:val="nil"/>
          <w:bottom w:val="nil"/>
          <w:right w:val="nil"/>
          <w:between w:val="nil"/>
        </w:pBdr>
        <w:spacing w:before="4" w:line="232" w:lineRule="auto"/>
        <w:ind w:left="121" w:right="11" w:firstLine="286"/>
        <w:jc w:val="both"/>
        <w:rPr>
          <w:color w:val="231F20"/>
          <w:sz w:val="17"/>
          <w:szCs w:val="17"/>
        </w:rPr>
      </w:pPr>
      <w:r>
        <w:rPr>
          <w:b/>
          <w:color w:val="231F20"/>
          <w:sz w:val="17"/>
          <w:szCs w:val="17"/>
        </w:rPr>
        <w:t xml:space="preserve">21. Coghlan J.G., Denton C.P., Grünig E. et al. </w:t>
      </w:r>
      <w:r>
        <w:rPr>
          <w:color w:val="231F20"/>
          <w:sz w:val="17"/>
          <w:szCs w:val="17"/>
        </w:rPr>
        <w:t xml:space="preserve">(2014)  Evidence-based detection of pulmonary arterial hypertension in systemic  sclerosis: the DETECT study. Annals of the Rheumatic Diseases,  73(7): 1340–1349. Доступно з: ard.bmj.com/content/73/7/1340. doi. </w:t>
      </w:r>
    </w:p>
    <w:p w:rsidR="001F332D" w:rsidRDefault="006E68E8">
      <w:pPr>
        <w:widowControl w:val="0"/>
        <w:pBdr>
          <w:top w:val="nil"/>
          <w:left w:val="nil"/>
          <w:bottom w:val="nil"/>
          <w:right w:val="nil"/>
          <w:between w:val="nil"/>
        </w:pBdr>
        <w:spacing w:before="4" w:line="240" w:lineRule="auto"/>
        <w:ind w:left="121"/>
        <w:rPr>
          <w:color w:val="231F20"/>
          <w:sz w:val="17"/>
          <w:szCs w:val="17"/>
        </w:rPr>
      </w:pPr>
      <w:r>
        <w:rPr>
          <w:color w:val="231F20"/>
          <w:sz w:val="17"/>
          <w:szCs w:val="17"/>
        </w:rPr>
        <w:t xml:space="preserve">org/10.1136/annrheumdis-2013-203301. </w:t>
      </w:r>
    </w:p>
    <w:p w:rsidR="001F332D" w:rsidRDefault="006E68E8">
      <w:pPr>
        <w:widowControl w:val="0"/>
        <w:pBdr>
          <w:top w:val="nil"/>
          <w:left w:val="nil"/>
          <w:bottom w:val="nil"/>
          <w:right w:val="nil"/>
          <w:between w:val="nil"/>
        </w:pBdr>
        <w:spacing w:line="232" w:lineRule="auto"/>
        <w:ind w:left="116" w:right="11" w:firstLine="291"/>
        <w:jc w:val="both"/>
        <w:rPr>
          <w:color w:val="231F20"/>
          <w:sz w:val="17"/>
          <w:szCs w:val="17"/>
        </w:rPr>
      </w:pPr>
      <w:r>
        <w:rPr>
          <w:b/>
          <w:color w:val="231F20"/>
          <w:sz w:val="17"/>
          <w:szCs w:val="17"/>
        </w:rPr>
        <w:t>22. Al</w:t>
      </w:r>
      <w:r>
        <w:rPr>
          <w:b/>
          <w:color w:val="231F20"/>
          <w:sz w:val="17"/>
          <w:szCs w:val="17"/>
        </w:rPr>
        <w:t xml:space="preserve">lanore Y., Borderie D., Avouac J. et al. </w:t>
      </w:r>
      <w:r>
        <w:rPr>
          <w:color w:val="231F20"/>
          <w:sz w:val="17"/>
          <w:szCs w:val="17"/>
        </w:rPr>
        <w:t>(2007) High  N-terminal pro–brain natriuretic peptide levels and low diffusing capacity  for carbon monoxide as independent predictors of the occurrence of  precapillary pulmonary arterial hypertension in patients w</w:t>
      </w:r>
      <w:r>
        <w:rPr>
          <w:color w:val="231F20"/>
          <w:sz w:val="17"/>
          <w:szCs w:val="17"/>
        </w:rPr>
        <w:t xml:space="preserve">ith systemic  sclerosis. Arthritis &amp; Rheumatism, 58(1): 284–291. doi.org/10.1002/ art.23187. </w:t>
      </w:r>
    </w:p>
    <w:p w:rsidR="001F332D" w:rsidRDefault="006E68E8">
      <w:pPr>
        <w:widowControl w:val="0"/>
        <w:pBdr>
          <w:top w:val="nil"/>
          <w:left w:val="nil"/>
          <w:bottom w:val="nil"/>
          <w:right w:val="nil"/>
          <w:between w:val="nil"/>
        </w:pBdr>
        <w:spacing w:before="4" w:line="232" w:lineRule="auto"/>
        <w:ind w:left="121" w:right="11" w:firstLine="286"/>
        <w:jc w:val="both"/>
        <w:rPr>
          <w:color w:val="231F20"/>
          <w:sz w:val="17"/>
          <w:szCs w:val="17"/>
        </w:rPr>
      </w:pPr>
      <w:r>
        <w:rPr>
          <w:b/>
          <w:color w:val="231F20"/>
          <w:sz w:val="17"/>
          <w:szCs w:val="17"/>
        </w:rPr>
        <w:t xml:space="preserve">23. Khanna D., Gladue H., Channick R. et al. </w:t>
      </w:r>
      <w:r>
        <w:rPr>
          <w:color w:val="231F20"/>
          <w:sz w:val="17"/>
          <w:szCs w:val="17"/>
        </w:rPr>
        <w:t>(2013)  Recommendations for screening and detection of connective tissue  disease-associated pulmonary arterial hyper</w:t>
      </w:r>
      <w:r>
        <w:rPr>
          <w:color w:val="231F20"/>
          <w:sz w:val="17"/>
          <w:szCs w:val="17"/>
        </w:rPr>
        <w:t xml:space="preserve">tension: Pulmonary  hypertension in connective tissue diseases. Arthritis Rheum, 65(12):  3194–3201. doi.org/10.1002/art.38172. </w:t>
      </w:r>
    </w:p>
    <w:p w:rsidR="001F332D" w:rsidRDefault="006E68E8">
      <w:pPr>
        <w:widowControl w:val="0"/>
        <w:pBdr>
          <w:top w:val="nil"/>
          <w:left w:val="nil"/>
          <w:bottom w:val="nil"/>
          <w:right w:val="nil"/>
          <w:between w:val="nil"/>
        </w:pBdr>
        <w:spacing w:before="4" w:line="232" w:lineRule="auto"/>
        <w:ind w:left="123" w:right="13" w:firstLine="284"/>
        <w:rPr>
          <w:color w:val="231F20"/>
          <w:sz w:val="17"/>
          <w:szCs w:val="17"/>
        </w:rPr>
      </w:pPr>
      <w:r>
        <w:rPr>
          <w:b/>
          <w:color w:val="231F20"/>
          <w:sz w:val="17"/>
          <w:szCs w:val="17"/>
        </w:rPr>
        <w:t xml:space="preserve">24. Chandra S., Shah S.J., Thenappan T. et al. </w:t>
      </w:r>
      <w:r>
        <w:rPr>
          <w:color w:val="231F20"/>
          <w:sz w:val="17"/>
          <w:szCs w:val="17"/>
        </w:rPr>
        <w:t xml:space="preserve">(2010)  Carbon monoxide diffusing capacity and mortality in pulmonary arterial  hypertension. The Journal of Heart and Lung Transplantation, 29(2): 181– 187. doi.org/10.1016/j.healun.2009.07.005. </w:t>
      </w:r>
    </w:p>
    <w:p w:rsidR="001F332D" w:rsidRDefault="006E68E8">
      <w:pPr>
        <w:widowControl w:val="0"/>
        <w:pBdr>
          <w:top w:val="nil"/>
          <w:left w:val="nil"/>
          <w:bottom w:val="nil"/>
          <w:right w:val="nil"/>
          <w:between w:val="nil"/>
        </w:pBdr>
        <w:spacing w:before="4" w:line="232" w:lineRule="auto"/>
        <w:ind w:left="121" w:right="12" w:firstLine="286"/>
        <w:jc w:val="both"/>
        <w:rPr>
          <w:color w:val="231F20"/>
          <w:sz w:val="17"/>
          <w:szCs w:val="17"/>
        </w:rPr>
      </w:pPr>
      <w:r>
        <w:rPr>
          <w:b/>
          <w:color w:val="231F20"/>
          <w:sz w:val="17"/>
          <w:szCs w:val="17"/>
        </w:rPr>
        <w:t xml:space="preserve">25. Trip P., Nossent E.J., de Man F.S. et al. </w:t>
      </w:r>
      <w:r>
        <w:rPr>
          <w:color w:val="231F20"/>
          <w:sz w:val="17"/>
          <w:szCs w:val="17"/>
        </w:rPr>
        <w:t>(2013)  Sever</w:t>
      </w:r>
      <w:r>
        <w:rPr>
          <w:color w:val="231F20"/>
          <w:sz w:val="17"/>
          <w:szCs w:val="17"/>
        </w:rPr>
        <w:t xml:space="preserve">ely reduced diffusion capacity in idiopathic pulmonary  arterial hypertension: patient characteristics and treatment  responses. European Respiratory Journal, 42(6): 1575–1585. doi. </w:t>
      </w:r>
    </w:p>
    <w:p w:rsidR="001F332D" w:rsidRDefault="006E68E8">
      <w:pPr>
        <w:widowControl w:val="0"/>
        <w:pBdr>
          <w:top w:val="nil"/>
          <w:left w:val="nil"/>
          <w:bottom w:val="nil"/>
          <w:right w:val="nil"/>
          <w:between w:val="nil"/>
        </w:pBdr>
        <w:spacing w:before="4" w:line="240" w:lineRule="auto"/>
        <w:ind w:left="121"/>
        <w:rPr>
          <w:color w:val="231F20"/>
          <w:sz w:val="17"/>
          <w:szCs w:val="17"/>
        </w:rPr>
      </w:pPr>
      <w:r>
        <w:rPr>
          <w:color w:val="231F20"/>
          <w:sz w:val="17"/>
          <w:szCs w:val="17"/>
        </w:rPr>
        <w:t xml:space="preserve">org/10.1183/09031936.00184412. </w:t>
      </w:r>
    </w:p>
    <w:p w:rsidR="001F332D" w:rsidRDefault="006E68E8">
      <w:pPr>
        <w:widowControl w:val="0"/>
        <w:pBdr>
          <w:top w:val="nil"/>
          <w:left w:val="nil"/>
          <w:bottom w:val="nil"/>
          <w:right w:val="nil"/>
          <w:between w:val="nil"/>
        </w:pBdr>
        <w:spacing w:line="232" w:lineRule="auto"/>
        <w:ind w:left="121" w:right="12" w:firstLine="286"/>
        <w:jc w:val="both"/>
        <w:rPr>
          <w:color w:val="231F20"/>
          <w:sz w:val="17"/>
          <w:szCs w:val="17"/>
        </w:rPr>
      </w:pPr>
      <w:r>
        <w:rPr>
          <w:b/>
          <w:color w:val="231F20"/>
          <w:sz w:val="17"/>
          <w:szCs w:val="17"/>
        </w:rPr>
        <w:t xml:space="preserve">26. Blanquez-Nadal M., Piliero N., Guillien A. et al.  </w:t>
      </w:r>
      <w:r>
        <w:rPr>
          <w:color w:val="231F20"/>
          <w:sz w:val="17"/>
          <w:szCs w:val="17"/>
        </w:rPr>
        <w:t>(2021) Exercise hyperventilation and pulmonary gas exchange in  chronic thromboembolic pulmonary hypertension: Effects of balloon  pulmonary angioplasty. Journal of Heart and Lung Transplantation. doi.</w:t>
      </w:r>
      <w:r>
        <w:rPr>
          <w:color w:val="231F20"/>
          <w:sz w:val="17"/>
          <w:szCs w:val="17"/>
        </w:rPr>
        <w:t xml:space="preserve"> </w:t>
      </w:r>
    </w:p>
    <w:p w:rsidR="001F332D" w:rsidRDefault="006E68E8">
      <w:pPr>
        <w:widowControl w:val="0"/>
        <w:pBdr>
          <w:top w:val="nil"/>
          <w:left w:val="nil"/>
          <w:bottom w:val="nil"/>
          <w:right w:val="nil"/>
          <w:between w:val="nil"/>
        </w:pBdr>
        <w:spacing w:before="4" w:line="240" w:lineRule="auto"/>
        <w:ind w:left="121"/>
        <w:rPr>
          <w:color w:val="231F20"/>
          <w:sz w:val="17"/>
          <w:szCs w:val="17"/>
        </w:rPr>
        <w:sectPr w:rsidR="001F332D">
          <w:type w:val="continuous"/>
          <w:pgSz w:w="11320" w:h="16040"/>
          <w:pgMar w:top="494" w:right="1072" w:bottom="587" w:left="737" w:header="0" w:footer="720" w:gutter="0"/>
          <w:cols w:num="2" w:space="720" w:equalWidth="0">
            <w:col w:w="4760" w:space="0"/>
            <w:col w:w="4760" w:space="0"/>
          </w:cols>
        </w:sectPr>
      </w:pPr>
      <w:r>
        <w:rPr>
          <w:color w:val="231F20"/>
          <w:sz w:val="17"/>
          <w:szCs w:val="17"/>
        </w:rPr>
        <w:t xml:space="preserve">org/10.1016/j.healun.2021.09.009. </w:t>
      </w:r>
    </w:p>
    <w:p w:rsidR="001F332D" w:rsidRDefault="006E68E8">
      <w:pPr>
        <w:widowControl w:val="0"/>
        <w:pBdr>
          <w:top w:val="nil"/>
          <w:left w:val="nil"/>
          <w:bottom w:val="nil"/>
          <w:right w:val="nil"/>
          <w:between w:val="nil"/>
        </w:pBdr>
        <w:spacing w:before="162" w:line="240" w:lineRule="auto"/>
        <w:ind w:left="213"/>
        <w:rPr>
          <w:color w:val="485E88"/>
          <w:sz w:val="16"/>
          <w:szCs w:val="16"/>
        </w:rPr>
        <w:sectPr w:rsidR="001F332D">
          <w:type w:val="continuous"/>
          <w:pgSz w:w="11320" w:h="16040"/>
          <w:pgMar w:top="494" w:right="689" w:bottom="587" w:left="733" w:header="0" w:footer="720" w:gutter="0"/>
          <w:cols w:space="720" w:equalWidth="0">
            <w:col w:w="9897" w:space="0"/>
          </w:cols>
        </w:sectPr>
      </w:pPr>
      <w:r>
        <w:rPr>
          <w:color w:val="FFFFFF"/>
          <w:sz w:val="24"/>
          <w:szCs w:val="24"/>
        </w:rPr>
        <w:lastRenderedPageBreak/>
        <w:t xml:space="preserve">8 </w:t>
      </w:r>
      <w:r>
        <w:rPr>
          <w:color w:val="485E88"/>
          <w:sz w:val="16"/>
          <w:szCs w:val="16"/>
        </w:rPr>
        <w:t xml:space="preserve">УКРАЇНСЬКИЙ РЕВМАТОЛОГІЧНИЙ ЖУРНАЛ • № 1 (99) • 2025 </w:t>
      </w:r>
    </w:p>
    <w:p w:rsidR="001F332D" w:rsidRDefault="006E68E8">
      <w:pPr>
        <w:widowControl w:val="0"/>
        <w:pBdr>
          <w:top w:val="nil"/>
          <w:left w:val="nil"/>
          <w:bottom w:val="nil"/>
          <w:right w:val="nil"/>
          <w:between w:val="nil"/>
        </w:pBdr>
        <w:spacing w:before="351" w:line="232" w:lineRule="auto"/>
        <w:ind w:left="7" w:right="128" w:firstLine="285"/>
        <w:rPr>
          <w:color w:val="231F20"/>
          <w:sz w:val="17"/>
          <w:szCs w:val="17"/>
        </w:rPr>
      </w:pPr>
      <w:r>
        <w:rPr>
          <w:b/>
          <w:color w:val="231F20"/>
          <w:sz w:val="17"/>
          <w:szCs w:val="17"/>
        </w:rPr>
        <w:lastRenderedPageBreak/>
        <w:t xml:space="preserve">27. Benza R.L., Gomberg-Maitland M., Miller D.P. et al.  </w:t>
      </w:r>
      <w:r>
        <w:rPr>
          <w:color w:val="231F20"/>
          <w:sz w:val="17"/>
          <w:szCs w:val="17"/>
        </w:rPr>
        <w:t xml:space="preserve">(2012) The REVEAL Registry Risk Score Calculator in Patients Newly  Diagnosed With Pulmonary Arterial Hypertension. Chest, 141(2): 354– 362. doi.org/10.1378/chest.11-0676. </w:t>
      </w:r>
    </w:p>
    <w:p w:rsidR="001F332D" w:rsidRDefault="006E68E8">
      <w:pPr>
        <w:widowControl w:val="0"/>
        <w:pBdr>
          <w:top w:val="nil"/>
          <w:left w:val="nil"/>
          <w:bottom w:val="nil"/>
          <w:right w:val="nil"/>
          <w:between w:val="nil"/>
        </w:pBdr>
        <w:spacing w:before="4" w:line="232" w:lineRule="auto"/>
        <w:ind w:left="11" w:right="129" w:firstLine="281"/>
        <w:jc w:val="both"/>
        <w:rPr>
          <w:color w:val="231F20"/>
          <w:sz w:val="17"/>
          <w:szCs w:val="17"/>
        </w:rPr>
      </w:pPr>
      <w:r>
        <w:rPr>
          <w:b/>
          <w:color w:val="231F20"/>
          <w:sz w:val="17"/>
          <w:szCs w:val="17"/>
        </w:rPr>
        <w:t xml:space="preserve">28. Benza R.L., Farber H.W., Frost A. et al. </w:t>
      </w:r>
      <w:r>
        <w:rPr>
          <w:color w:val="231F20"/>
          <w:sz w:val="17"/>
          <w:szCs w:val="17"/>
        </w:rPr>
        <w:t xml:space="preserve">(2018)  REVEAL risk scores applied to </w:t>
      </w:r>
      <w:r>
        <w:rPr>
          <w:color w:val="231F20"/>
          <w:sz w:val="17"/>
          <w:szCs w:val="17"/>
        </w:rPr>
        <w:t xml:space="preserve">riociguat-treated patients in  PATENT-2: Impact of changes in risk score on survival. The Journal of  Heart and Lung Transplantation, 37(4): 513–519. doi.org/10.1016/j. </w:t>
      </w:r>
    </w:p>
    <w:p w:rsidR="001F332D" w:rsidRDefault="006E68E8">
      <w:pPr>
        <w:widowControl w:val="0"/>
        <w:pBdr>
          <w:top w:val="nil"/>
          <w:left w:val="nil"/>
          <w:bottom w:val="nil"/>
          <w:right w:val="nil"/>
          <w:between w:val="nil"/>
        </w:pBdr>
        <w:spacing w:before="4" w:line="240" w:lineRule="auto"/>
        <w:ind w:left="10"/>
        <w:rPr>
          <w:color w:val="231F20"/>
          <w:sz w:val="17"/>
          <w:szCs w:val="17"/>
        </w:rPr>
      </w:pPr>
      <w:r>
        <w:rPr>
          <w:color w:val="231F20"/>
          <w:sz w:val="17"/>
          <w:szCs w:val="17"/>
        </w:rPr>
        <w:t xml:space="preserve">healun.201. </w:t>
      </w:r>
    </w:p>
    <w:p w:rsidR="001F332D" w:rsidRDefault="006E68E8">
      <w:pPr>
        <w:widowControl w:val="0"/>
        <w:pBdr>
          <w:top w:val="nil"/>
          <w:left w:val="nil"/>
          <w:bottom w:val="nil"/>
          <w:right w:val="nil"/>
          <w:between w:val="nil"/>
        </w:pBdr>
        <w:spacing w:line="232" w:lineRule="auto"/>
        <w:ind w:left="8" w:right="128" w:firstLine="284"/>
        <w:jc w:val="both"/>
        <w:rPr>
          <w:color w:val="231F20"/>
          <w:sz w:val="17"/>
          <w:szCs w:val="17"/>
        </w:rPr>
      </w:pPr>
      <w:r>
        <w:rPr>
          <w:b/>
          <w:color w:val="231F20"/>
          <w:sz w:val="17"/>
          <w:szCs w:val="17"/>
        </w:rPr>
        <w:t xml:space="preserve">29. Benza R.L., Gomberg-Maitland M., Elliott C.G. et al.  </w:t>
      </w:r>
      <w:r>
        <w:rPr>
          <w:color w:val="231F20"/>
          <w:sz w:val="17"/>
          <w:szCs w:val="17"/>
        </w:rPr>
        <w:t xml:space="preserve">(2019) Predicting Survival in Patients With Pulmonary Arterial Hypertension.  Chest, 156(2): 323–337. doi.org/10.1016/j.chest.2019.02.004. </w:t>
      </w:r>
    </w:p>
    <w:p w:rsidR="001F332D" w:rsidRDefault="006E68E8">
      <w:pPr>
        <w:widowControl w:val="0"/>
        <w:pBdr>
          <w:top w:val="nil"/>
          <w:left w:val="nil"/>
          <w:bottom w:val="nil"/>
          <w:right w:val="nil"/>
          <w:between w:val="nil"/>
        </w:pBdr>
        <w:spacing w:before="4" w:line="232" w:lineRule="auto"/>
        <w:ind w:right="128" w:firstLine="290"/>
        <w:rPr>
          <w:color w:val="231F20"/>
          <w:sz w:val="17"/>
          <w:szCs w:val="17"/>
        </w:rPr>
      </w:pPr>
      <w:r>
        <w:rPr>
          <w:b/>
          <w:color w:val="231F20"/>
          <w:sz w:val="17"/>
          <w:szCs w:val="17"/>
        </w:rPr>
        <w:lastRenderedPageBreak/>
        <w:t xml:space="preserve">30. Міністерство охорони здоров’я України </w:t>
      </w:r>
      <w:r>
        <w:rPr>
          <w:color w:val="231F20"/>
          <w:sz w:val="17"/>
          <w:szCs w:val="17"/>
        </w:rPr>
        <w:t>(2016) Уні фікований клінічний протокол екстреної, первинної, вторинної  (</w:t>
      </w:r>
      <w:r>
        <w:rPr>
          <w:color w:val="231F20"/>
          <w:sz w:val="17"/>
          <w:szCs w:val="17"/>
        </w:rPr>
        <w:t xml:space="preserve">спеціалізованої) та третинної (високоспеціалізованої) медичної  допомоги (УКПМД) «Легенева гіпертензія у дорослих» (Наказ від  21 червня 2016 р. № 614). Доступно з: moz.gov.ua/uk/nakazi-moz  (Дата звернення: [20.05.2025]). </w:t>
      </w:r>
    </w:p>
    <w:p w:rsidR="001F332D" w:rsidRDefault="006E68E8">
      <w:pPr>
        <w:widowControl w:val="0"/>
        <w:pBdr>
          <w:top w:val="nil"/>
          <w:left w:val="nil"/>
          <w:bottom w:val="nil"/>
          <w:right w:val="nil"/>
          <w:between w:val="nil"/>
        </w:pBdr>
        <w:spacing w:before="4" w:line="232" w:lineRule="auto"/>
        <w:ind w:left="6" w:right="125" w:firstLine="283"/>
        <w:rPr>
          <w:color w:val="231F20"/>
          <w:sz w:val="17"/>
          <w:szCs w:val="17"/>
        </w:rPr>
      </w:pPr>
      <w:r>
        <w:rPr>
          <w:b/>
          <w:color w:val="231F20"/>
          <w:sz w:val="17"/>
          <w:szCs w:val="17"/>
        </w:rPr>
        <w:t xml:space="preserve">31. American Thoracic Society </w:t>
      </w:r>
      <w:r>
        <w:rPr>
          <w:color w:val="231F20"/>
          <w:sz w:val="17"/>
          <w:szCs w:val="17"/>
        </w:rPr>
        <w:t>(2</w:t>
      </w:r>
      <w:r>
        <w:rPr>
          <w:color w:val="231F20"/>
          <w:sz w:val="17"/>
          <w:szCs w:val="17"/>
        </w:rPr>
        <w:t xml:space="preserve">002) ATS Statement:  Guidelines for the Six-Minute Walk Test. American Journal of Respiratory  and Critical Care Medicine, 166(1): 111–117. doi.org/10.1164/ ajrccm.166.1.at1102. </w:t>
      </w:r>
    </w:p>
    <w:p w:rsidR="001F332D" w:rsidRDefault="006E68E8">
      <w:pPr>
        <w:widowControl w:val="0"/>
        <w:pBdr>
          <w:top w:val="nil"/>
          <w:left w:val="nil"/>
          <w:bottom w:val="nil"/>
          <w:right w:val="nil"/>
          <w:between w:val="nil"/>
        </w:pBdr>
        <w:spacing w:before="4" w:line="232" w:lineRule="auto"/>
        <w:ind w:left="6" w:right="127" w:firstLine="283"/>
        <w:jc w:val="both"/>
        <w:rPr>
          <w:color w:val="231F20"/>
          <w:sz w:val="17"/>
          <w:szCs w:val="17"/>
        </w:rPr>
      </w:pPr>
      <w:r>
        <w:rPr>
          <w:b/>
          <w:color w:val="231F20"/>
          <w:sz w:val="17"/>
          <w:szCs w:val="17"/>
        </w:rPr>
        <w:t xml:space="preserve">32. Modi P., Goldin J., Cascella M. </w:t>
      </w:r>
      <w:r>
        <w:rPr>
          <w:color w:val="231F20"/>
          <w:sz w:val="17"/>
          <w:szCs w:val="17"/>
        </w:rPr>
        <w:t xml:space="preserve">(2024) Diffusing  capacity of the lungs for carbon monoxide. StatPearls Publishing.  pubmed.ncbi.nlm.nih.gov/32310609. </w:t>
      </w:r>
    </w:p>
    <w:p w:rsidR="001F332D" w:rsidRDefault="006E68E8">
      <w:pPr>
        <w:widowControl w:val="0"/>
        <w:pBdr>
          <w:top w:val="nil"/>
          <w:left w:val="nil"/>
          <w:bottom w:val="nil"/>
          <w:right w:val="nil"/>
          <w:between w:val="nil"/>
        </w:pBdr>
        <w:spacing w:before="4" w:line="232" w:lineRule="auto"/>
        <w:ind w:left="6" w:right="128" w:firstLine="283"/>
        <w:rPr>
          <w:color w:val="231F20"/>
          <w:sz w:val="17"/>
          <w:szCs w:val="17"/>
        </w:rPr>
      </w:pPr>
      <w:r>
        <w:rPr>
          <w:b/>
          <w:color w:val="231F20"/>
          <w:sz w:val="17"/>
          <w:szCs w:val="17"/>
        </w:rPr>
        <w:t xml:space="preserve">33. Kwi Y.K., Chan H.J., Sung J.C. et al. </w:t>
      </w:r>
      <w:r>
        <w:rPr>
          <w:color w:val="231F20"/>
          <w:sz w:val="17"/>
          <w:szCs w:val="17"/>
        </w:rPr>
        <w:t xml:space="preserve">(2017) Survival  and prognostic factors in patients with connective tissue disease‐ associated pulmonary hypertension </w:t>
      </w:r>
      <w:r>
        <w:rPr>
          <w:color w:val="231F20"/>
          <w:sz w:val="17"/>
          <w:szCs w:val="17"/>
        </w:rPr>
        <w:lastRenderedPageBreak/>
        <w:t>diagnosed by echocardiography:  results from a Korean nationwide registry. International Journal of  Rheumatic Diseases, 20(9): 1227–1236.</w:t>
      </w:r>
      <w:r>
        <w:rPr>
          <w:color w:val="231F20"/>
          <w:sz w:val="17"/>
          <w:szCs w:val="17"/>
        </w:rPr>
        <w:t xml:space="preserve"> doi.org/10.1111/1756- 185X.12645. </w:t>
      </w:r>
    </w:p>
    <w:p w:rsidR="001F332D" w:rsidRDefault="006E68E8">
      <w:pPr>
        <w:widowControl w:val="0"/>
        <w:pBdr>
          <w:top w:val="nil"/>
          <w:left w:val="nil"/>
          <w:bottom w:val="nil"/>
          <w:right w:val="nil"/>
          <w:between w:val="nil"/>
        </w:pBdr>
        <w:spacing w:before="4" w:line="232" w:lineRule="auto"/>
        <w:ind w:left="1" w:right="129" w:firstLine="288"/>
        <w:jc w:val="both"/>
        <w:rPr>
          <w:color w:val="231F20"/>
          <w:sz w:val="17"/>
          <w:szCs w:val="17"/>
        </w:rPr>
      </w:pPr>
      <w:r>
        <w:rPr>
          <w:b/>
          <w:color w:val="231F20"/>
          <w:sz w:val="17"/>
          <w:szCs w:val="17"/>
        </w:rPr>
        <w:t xml:space="preserve">34. Meyer F.J. </w:t>
      </w:r>
      <w:r>
        <w:rPr>
          <w:color w:val="231F20"/>
          <w:sz w:val="17"/>
          <w:szCs w:val="17"/>
        </w:rPr>
        <w:t xml:space="preserve">(2002) Peripheral airway obstruction in primary  pulmonary hypertension. Thorax. Jun 1; 57(6): 473–6. doi.org/10.1136/ thorax.57.6.473.  </w:t>
      </w:r>
    </w:p>
    <w:p w:rsidR="001F332D" w:rsidRDefault="006E68E8">
      <w:pPr>
        <w:widowControl w:val="0"/>
        <w:pBdr>
          <w:top w:val="nil"/>
          <w:left w:val="nil"/>
          <w:bottom w:val="nil"/>
          <w:right w:val="nil"/>
          <w:between w:val="nil"/>
        </w:pBdr>
        <w:spacing w:before="4" w:line="232" w:lineRule="auto"/>
        <w:ind w:left="3" w:right="128" w:firstLine="287"/>
        <w:jc w:val="both"/>
        <w:rPr>
          <w:color w:val="231F20"/>
          <w:sz w:val="17"/>
          <w:szCs w:val="17"/>
        </w:rPr>
      </w:pPr>
      <w:r>
        <w:rPr>
          <w:b/>
          <w:color w:val="231F20"/>
          <w:sz w:val="17"/>
          <w:szCs w:val="17"/>
        </w:rPr>
        <w:t xml:space="preserve">35. Yanagisawa A., Naito A., Jujo-Sanada T. et al. </w:t>
      </w:r>
      <w:r>
        <w:rPr>
          <w:color w:val="231F20"/>
          <w:sz w:val="17"/>
          <w:szCs w:val="17"/>
        </w:rPr>
        <w:t xml:space="preserve">(2021)  Vascular involvement in chronic thromboembolic pulmonary hypertension  is associated with spirometry obstructive impairment. BMC Pulmonary  Medicine, 21(1). doi.org/10.1186/s12890-021-01779-x. </w:t>
      </w:r>
    </w:p>
    <w:p w:rsidR="001F332D" w:rsidRDefault="006E68E8">
      <w:pPr>
        <w:widowControl w:val="0"/>
        <w:pBdr>
          <w:top w:val="nil"/>
          <w:left w:val="nil"/>
          <w:bottom w:val="nil"/>
          <w:right w:val="nil"/>
          <w:between w:val="nil"/>
        </w:pBdr>
        <w:spacing w:before="4" w:line="232" w:lineRule="auto"/>
        <w:ind w:left="7" w:right="126" w:firstLine="283"/>
        <w:rPr>
          <w:color w:val="231F20"/>
          <w:sz w:val="17"/>
          <w:szCs w:val="17"/>
        </w:rPr>
      </w:pPr>
      <w:r>
        <w:rPr>
          <w:b/>
          <w:color w:val="231F20"/>
          <w:sz w:val="17"/>
          <w:szCs w:val="17"/>
        </w:rPr>
        <w:t xml:space="preserve">36. Прогонов С., Торбас О., Кушнір С. та ін. </w:t>
      </w:r>
      <w:r>
        <w:rPr>
          <w:color w:val="231F20"/>
          <w:sz w:val="17"/>
          <w:szCs w:val="17"/>
        </w:rPr>
        <w:t>(2024)  Ф</w:t>
      </w:r>
      <w:r>
        <w:rPr>
          <w:color w:val="231F20"/>
          <w:sz w:val="17"/>
          <w:szCs w:val="17"/>
        </w:rPr>
        <w:t xml:space="preserve">ункція зовнішнього дихання та дифузійна здатність легень у па цієнтів із різними формами легеневої гіпертензії. Кардіохірургія та  інтервенційна кардіологія, 13(3): 53–63. doi.org/10.31928/2664- 3790-2024.3.5363. </w:t>
      </w:r>
    </w:p>
    <w:p w:rsidR="001F332D" w:rsidRDefault="006E68E8">
      <w:pPr>
        <w:widowControl w:val="0"/>
        <w:pBdr>
          <w:top w:val="nil"/>
          <w:left w:val="nil"/>
          <w:bottom w:val="nil"/>
          <w:right w:val="nil"/>
          <w:between w:val="nil"/>
        </w:pBdr>
        <w:spacing w:before="4" w:line="232" w:lineRule="auto"/>
        <w:ind w:left="10" w:right="128" w:firstLine="280"/>
        <w:rPr>
          <w:color w:val="231F20"/>
          <w:sz w:val="17"/>
          <w:szCs w:val="17"/>
        </w:rPr>
      </w:pPr>
      <w:r>
        <w:rPr>
          <w:b/>
          <w:color w:val="231F20"/>
          <w:sz w:val="17"/>
          <w:szCs w:val="17"/>
        </w:rPr>
        <w:t>37. Price L.C., Wort S.J., Perros F. et al</w:t>
      </w:r>
      <w:r>
        <w:rPr>
          <w:b/>
          <w:color w:val="231F20"/>
          <w:sz w:val="17"/>
          <w:szCs w:val="17"/>
        </w:rPr>
        <w:t xml:space="preserve">. </w:t>
      </w:r>
      <w:r>
        <w:rPr>
          <w:color w:val="231F20"/>
          <w:sz w:val="17"/>
          <w:szCs w:val="17"/>
        </w:rPr>
        <w:t xml:space="preserve">(2012)  Inflammation in Pulmonary Arterial Hypertension. Chest, 141(1): 210– 221. doi.org/10.1378/chest.11-0793. </w:t>
      </w:r>
    </w:p>
    <w:p w:rsidR="001F332D" w:rsidRDefault="006E68E8">
      <w:pPr>
        <w:widowControl w:val="0"/>
        <w:pBdr>
          <w:top w:val="nil"/>
          <w:left w:val="nil"/>
          <w:bottom w:val="nil"/>
          <w:right w:val="nil"/>
          <w:between w:val="nil"/>
        </w:pBdr>
        <w:spacing w:before="4" w:line="232" w:lineRule="auto"/>
        <w:ind w:left="6" w:right="128" w:firstLine="283"/>
        <w:jc w:val="both"/>
        <w:rPr>
          <w:color w:val="231F20"/>
          <w:sz w:val="17"/>
          <w:szCs w:val="17"/>
        </w:rPr>
      </w:pPr>
      <w:r>
        <w:rPr>
          <w:b/>
          <w:color w:val="231F20"/>
          <w:sz w:val="17"/>
          <w:szCs w:val="17"/>
        </w:rPr>
        <w:t xml:space="preserve">38. Humbert M., Monti G., Brenot F. et al. </w:t>
      </w:r>
      <w:r>
        <w:rPr>
          <w:color w:val="231F20"/>
          <w:sz w:val="17"/>
          <w:szCs w:val="17"/>
        </w:rPr>
        <w:t xml:space="preserve">(1995) Increased  interleukin-1 and interleukin-6 serum concentrations in severe  primary pulmonary hypertension. American Journal of Respiratory  and Critical Care Medicine, 151(5): 1628–1631. dx.doi.org/10.1164/ ajrccm.151.5.7735624. </w:t>
      </w:r>
    </w:p>
    <w:p w:rsidR="001F332D" w:rsidRDefault="006E68E8">
      <w:pPr>
        <w:widowControl w:val="0"/>
        <w:pBdr>
          <w:top w:val="nil"/>
          <w:left w:val="nil"/>
          <w:bottom w:val="nil"/>
          <w:right w:val="nil"/>
          <w:between w:val="nil"/>
        </w:pBdr>
        <w:spacing w:before="4" w:line="232" w:lineRule="auto"/>
        <w:ind w:left="11" w:right="125" w:firstLine="278"/>
        <w:jc w:val="both"/>
        <w:rPr>
          <w:color w:val="231F20"/>
          <w:sz w:val="17"/>
          <w:szCs w:val="17"/>
        </w:rPr>
      </w:pPr>
      <w:r>
        <w:rPr>
          <w:b/>
          <w:color w:val="231F20"/>
          <w:sz w:val="17"/>
          <w:szCs w:val="17"/>
        </w:rPr>
        <w:t>39. Soon E., Holmes</w:t>
      </w:r>
      <w:r>
        <w:rPr>
          <w:b/>
          <w:color w:val="231F20"/>
          <w:sz w:val="17"/>
          <w:szCs w:val="17"/>
        </w:rPr>
        <w:t xml:space="preserve"> A.M., Treacy C.M. et al. </w:t>
      </w:r>
      <w:r>
        <w:rPr>
          <w:color w:val="231F20"/>
          <w:sz w:val="17"/>
          <w:szCs w:val="17"/>
        </w:rPr>
        <w:t xml:space="preserve">(2010)  Elevated Levels of Inflammatory Cytokines Predict Survival in  Idiopathic and Familial Pulmonary Arterial Hypertension. Circulation,  122(9): 920–927. doi.org/10.1161/CIRCULATIONAHA.109.933762. </w:t>
      </w:r>
    </w:p>
    <w:p w:rsidR="001F332D" w:rsidRDefault="006E68E8">
      <w:pPr>
        <w:widowControl w:val="0"/>
        <w:pBdr>
          <w:top w:val="nil"/>
          <w:left w:val="nil"/>
          <w:bottom w:val="nil"/>
          <w:right w:val="nil"/>
          <w:between w:val="nil"/>
        </w:pBdr>
        <w:spacing w:before="4" w:line="232" w:lineRule="auto"/>
        <w:ind w:left="10" w:right="129" w:firstLine="279"/>
        <w:rPr>
          <w:color w:val="231F20"/>
          <w:sz w:val="17"/>
          <w:szCs w:val="17"/>
        </w:rPr>
      </w:pPr>
      <w:r>
        <w:rPr>
          <w:b/>
          <w:color w:val="231F20"/>
          <w:sz w:val="17"/>
          <w:szCs w:val="17"/>
        </w:rPr>
        <w:t>40. Schober A., Zernecke A.</w:t>
      </w:r>
      <w:r>
        <w:rPr>
          <w:b/>
          <w:color w:val="231F20"/>
          <w:sz w:val="17"/>
          <w:szCs w:val="17"/>
        </w:rPr>
        <w:t xml:space="preserve"> </w:t>
      </w:r>
      <w:r>
        <w:rPr>
          <w:color w:val="231F20"/>
          <w:sz w:val="17"/>
          <w:szCs w:val="17"/>
        </w:rPr>
        <w:t xml:space="preserve">(2007) Chemokines in vascular  remodeling. Thrombosis and Haemostasis, 97(5): 730–737. pubmed. ncbi.nlm.nih.gov/17479183. </w:t>
      </w:r>
    </w:p>
    <w:p w:rsidR="001F332D" w:rsidRDefault="006E68E8">
      <w:pPr>
        <w:widowControl w:val="0"/>
        <w:pBdr>
          <w:top w:val="nil"/>
          <w:left w:val="nil"/>
          <w:bottom w:val="nil"/>
          <w:right w:val="nil"/>
          <w:between w:val="nil"/>
        </w:pBdr>
        <w:spacing w:before="4" w:line="232" w:lineRule="auto"/>
        <w:ind w:left="9" w:right="125" w:firstLine="280"/>
        <w:jc w:val="both"/>
        <w:rPr>
          <w:color w:val="231F20"/>
          <w:sz w:val="17"/>
          <w:szCs w:val="17"/>
        </w:rPr>
      </w:pPr>
      <w:r>
        <w:rPr>
          <w:b/>
          <w:color w:val="231F20"/>
          <w:sz w:val="17"/>
          <w:szCs w:val="17"/>
        </w:rPr>
        <w:t xml:space="preserve">41. Low A.T., Medford A.R.L., Millar A.B., Tulloh R.M.R.  </w:t>
      </w:r>
      <w:r>
        <w:rPr>
          <w:color w:val="231F20"/>
          <w:sz w:val="17"/>
          <w:szCs w:val="17"/>
        </w:rPr>
        <w:t xml:space="preserve">(2015) Lung function in pulmonary hypertension. Respiratory Medicine,  109(10): 1244–1249. doi.org/10.1016/j.rmed.2015.05.022. </w:t>
      </w:r>
    </w:p>
    <w:p w:rsidR="001F332D" w:rsidRDefault="006E68E8">
      <w:pPr>
        <w:widowControl w:val="0"/>
        <w:pBdr>
          <w:top w:val="nil"/>
          <w:left w:val="nil"/>
          <w:bottom w:val="nil"/>
          <w:right w:val="nil"/>
          <w:between w:val="nil"/>
        </w:pBdr>
        <w:spacing w:before="4" w:line="232" w:lineRule="auto"/>
        <w:ind w:left="6" w:right="128" w:firstLine="283"/>
        <w:jc w:val="both"/>
        <w:rPr>
          <w:color w:val="231F20"/>
          <w:sz w:val="17"/>
          <w:szCs w:val="17"/>
        </w:rPr>
      </w:pPr>
      <w:r>
        <w:rPr>
          <w:b/>
          <w:color w:val="231F20"/>
          <w:sz w:val="17"/>
          <w:szCs w:val="17"/>
        </w:rPr>
        <w:t xml:space="preserve">42. Nally J.E., McCall R., Young L.C. et al. </w:t>
      </w:r>
      <w:r>
        <w:rPr>
          <w:color w:val="231F20"/>
          <w:sz w:val="17"/>
          <w:szCs w:val="17"/>
        </w:rPr>
        <w:t>(1994)  Mechanical and biochemical responses to endothelin-1 and  endothelin-3 in h</w:t>
      </w:r>
      <w:r>
        <w:rPr>
          <w:color w:val="231F20"/>
          <w:sz w:val="17"/>
          <w:szCs w:val="17"/>
        </w:rPr>
        <w:t xml:space="preserve">uman bronchi. European Journal of Pharmacology —  Molecular Pharmacology Section, 288(1): 53–60. doi. </w:t>
      </w:r>
    </w:p>
    <w:p w:rsidR="001F332D" w:rsidRDefault="006E68E8">
      <w:pPr>
        <w:widowControl w:val="0"/>
        <w:pBdr>
          <w:top w:val="nil"/>
          <w:left w:val="nil"/>
          <w:bottom w:val="nil"/>
          <w:right w:val="nil"/>
          <w:between w:val="nil"/>
        </w:pBdr>
        <w:spacing w:before="4" w:line="240" w:lineRule="auto"/>
        <w:ind w:left="6"/>
        <w:rPr>
          <w:color w:val="231F20"/>
          <w:sz w:val="17"/>
          <w:szCs w:val="17"/>
        </w:rPr>
      </w:pPr>
      <w:r>
        <w:rPr>
          <w:color w:val="231F20"/>
          <w:sz w:val="17"/>
          <w:szCs w:val="17"/>
        </w:rPr>
        <w:t xml:space="preserve">org/10.1016/0922-4106(94)90009-4. </w:t>
      </w:r>
    </w:p>
    <w:p w:rsidR="001F332D" w:rsidRDefault="006E68E8">
      <w:pPr>
        <w:widowControl w:val="0"/>
        <w:pBdr>
          <w:top w:val="nil"/>
          <w:left w:val="nil"/>
          <w:bottom w:val="nil"/>
          <w:right w:val="nil"/>
          <w:between w:val="nil"/>
        </w:pBdr>
        <w:spacing w:line="232" w:lineRule="auto"/>
        <w:ind w:left="2" w:right="128" w:firstLine="287"/>
        <w:rPr>
          <w:color w:val="231F20"/>
          <w:sz w:val="17"/>
          <w:szCs w:val="17"/>
        </w:rPr>
      </w:pPr>
      <w:r>
        <w:rPr>
          <w:b/>
          <w:color w:val="231F20"/>
          <w:sz w:val="17"/>
          <w:szCs w:val="17"/>
        </w:rPr>
        <w:t xml:space="preserve">43. Hock J., Willinger L., Pozza R.D. et al. </w:t>
      </w:r>
      <w:r>
        <w:rPr>
          <w:color w:val="231F20"/>
          <w:sz w:val="17"/>
          <w:szCs w:val="17"/>
        </w:rPr>
        <w:t xml:space="preserve">(2023)  Abnormalities in pulmonary function and volumes in patients with CHD:  </w:t>
      </w:r>
    </w:p>
    <w:p w:rsidR="001F332D" w:rsidRDefault="006E68E8">
      <w:pPr>
        <w:widowControl w:val="0"/>
        <w:pBdr>
          <w:top w:val="nil"/>
          <w:left w:val="nil"/>
          <w:bottom w:val="nil"/>
          <w:right w:val="nil"/>
          <w:between w:val="nil"/>
        </w:pBdr>
        <w:spacing w:line="240" w:lineRule="auto"/>
        <w:ind w:right="72"/>
        <w:jc w:val="right"/>
        <w:rPr>
          <w:color w:val="485E88"/>
          <w:sz w:val="24"/>
          <w:szCs w:val="24"/>
        </w:rPr>
      </w:pPr>
      <w:r>
        <w:rPr>
          <w:color w:val="485E88"/>
          <w:sz w:val="24"/>
          <w:szCs w:val="24"/>
        </w:rPr>
        <w:t>ВЛАСНІ СПОСТЕРЕЖЕННЯ</w:t>
      </w:r>
    </w:p>
    <w:p w:rsidR="001F332D" w:rsidRDefault="006E68E8">
      <w:pPr>
        <w:widowControl w:val="0"/>
        <w:pBdr>
          <w:top w:val="nil"/>
          <w:left w:val="nil"/>
          <w:bottom w:val="nil"/>
          <w:right w:val="nil"/>
          <w:between w:val="nil"/>
        </w:pBdr>
        <w:spacing w:before="71" w:line="242" w:lineRule="auto"/>
        <w:ind w:left="122" w:right="70"/>
        <w:rPr>
          <w:color w:val="231F20"/>
          <w:sz w:val="17"/>
          <w:szCs w:val="17"/>
        </w:rPr>
      </w:pPr>
      <w:r>
        <w:rPr>
          <w:color w:val="231F20"/>
          <w:sz w:val="17"/>
          <w:szCs w:val="17"/>
        </w:rPr>
        <w:t xml:space="preserve">a systematic review. Cardiology in the Young, 33(2): 169–181. doi. org/10.1017/S1047951122004103. </w:t>
      </w:r>
    </w:p>
    <w:p w:rsidR="001F332D" w:rsidRDefault="006E68E8">
      <w:pPr>
        <w:widowControl w:val="0"/>
        <w:pBdr>
          <w:top w:val="nil"/>
          <w:left w:val="nil"/>
          <w:bottom w:val="nil"/>
          <w:right w:val="nil"/>
          <w:between w:val="nil"/>
        </w:pBdr>
        <w:spacing w:before="6" w:line="242" w:lineRule="auto"/>
        <w:ind w:left="120" w:right="13" w:firstLine="285"/>
        <w:rPr>
          <w:color w:val="231F20"/>
          <w:sz w:val="17"/>
          <w:szCs w:val="17"/>
        </w:rPr>
      </w:pPr>
      <w:r>
        <w:rPr>
          <w:b/>
          <w:color w:val="231F20"/>
          <w:sz w:val="17"/>
          <w:szCs w:val="17"/>
        </w:rPr>
        <w:t xml:space="preserve">44. Amedro P., Picot M.-C., Moniotte S. et al. </w:t>
      </w:r>
      <w:r>
        <w:rPr>
          <w:color w:val="231F20"/>
          <w:sz w:val="17"/>
          <w:szCs w:val="17"/>
        </w:rPr>
        <w:t xml:space="preserve">(2021)  Respiratory morbidity in children with congenital heart disease. European  Journal of Pediatrics, 180(9): 2751–2759. doi.org/10.1007/s00431-021- 03950-0. </w:t>
      </w:r>
    </w:p>
    <w:p w:rsidR="001F332D" w:rsidRDefault="006E68E8">
      <w:pPr>
        <w:widowControl w:val="0"/>
        <w:pBdr>
          <w:top w:val="nil"/>
          <w:left w:val="nil"/>
          <w:bottom w:val="nil"/>
          <w:right w:val="nil"/>
          <w:between w:val="nil"/>
        </w:pBdr>
        <w:spacing w:before="6" w:line="242" w:lineRule="auto"/>
        <w:ind w:left="122" w:right="10" w:firstLine="283"/>
        <w:jc w:val="both"/>
        <w:rPr>
          <w:color w:val="231F20"/>
          <w:sz w:val="17"/>
          <w:szCs w:val="17"/>
        </w:rPr>
      </w:pPr>
      <w:r>
        <w:rPr>
          <w:b/>
          <w:color w:val="231F20"/>
          <w:sz w:val="17"/>
          <w:szCs w:val="17"/>
        </w:rPr>
        <w:t xml:space="preserve">45. Perloff J.K. et al. </w:t>
      </w:r>
      <w:r>
        <w:rPr>
          <w:color w:val="231F20"/>
          <w:sz w:val="17"/>
          <w:szCs w:val="17"/>
        </w:rPr>
        <w:t>(1997) Role of right ventricular and  pulmonary functional abnormalit</w:t>
      </w:r>
      <w:r>
        <w:rPr>
          <w:color w:val="231F20"/>
          <w:sz w:val="17"/>
          <w:szCs w:val="17"/>
        </w:rPr>
        <w:t xml:space="preserve">ies in limiting exercise capacity in  adults with congenital heart disease. American Journal of Cardiology,  80(11): 1454–1458. doi.org/10.1016/S0002-9149(97)00352-4. </w:t>
      </w:r>
    </w:p>
    <w:p w:rsidR="001F332D" w:rsidRDefault="006E68E8">
      <w:pPr>
        <w:widowControl w:val="0"/>
        <w:pBdr>
          <w:top w:val="nil"/>
          <w:left w:val="nil"/>
          <w:bottom w:val="nil"/>
          <w:right w:val="nil"/>
          <w:between w:val="nil"/>
        </w:pBdr>
        <w:spacing w:before="6" w:line="242" w:lineRule="auto"/>
        <w:ind w:left="120" w:right="13" w:firstLine="285"/>
        <w:jc w:val="both"/>
        <w:rPr>
          <w:color w:val="231F20"/>
          <w:sz w:val="17"/>
          <w:szCs w:val="17"/>
        </w:rPr>
      </w:pPr>
      <w:r>
        <w:rPr>
          <w:b/>
          <w:color w:val="231F20"/>
          <w:sz w:val="17"/>
          <w:szCs w:val="17"/>
        </w:rPr>
        <w:t xml:space="preserve">46. Sun X.G., Hansen J.E., Oudiz R.J., Wasserman  K. </w:t>
      </w:r>
      <w:r>
        <w:rPr>
          <w:color w:val="231F20"/>
          <w:sz w:val="17"/>
          <w:szCs w:val="17"/>
        </w:rPr>
        <w:t>(2003) Pulmonary function in primar</w:t>
      </w:r>
      <w:r>
        <w:rPr>
          <w:color w:val="231F20"/>
          <w:sz w:val="17"/>
          <w:szCs w:val="17"/>
        </w:rPr>
        <w:t xml:space="preserve">y pulmonary hypertension.  </w:t>
      </w:r>
      <w:r>
        <w:rPr>
          <w:color w:val="231F20"/>
          <w:sz w:val="17"/>
          <w:szCs w:val="17"/>
        </w:rPr>
        <w:lastRenderedPageBreak/>
        <w:t xml:space="preserve">Journal of the American College of Cardiology, 41(6): 1028–1035.  doi.org/10.1016/s0735-1097(02)02964-9. </w:t>
      </w:r>
    </w:p>
    <w:p w:rsidR="001F332D" w:rsidRDefault="006E68E8">
      <w:pPr>
        <w:widowControl w:val="0"/>
        <w:pBdr>
          <w:top w:val="nil"/>
          <w:left w:val="nil"/>
          <w:bottom w:val="nil"/>
          <w:right w:val="nil"/>
          <w:between w:val="nil"/>
        </w:pBdr>
        <w:spacing w:before="6" w:line="242" w:lineRule="auto"/>
        <w:ind w:left="118" w:right="13" w:firstLine="286"/>
        <w:rPr>
          <w:color w:val="231F20"/>
          <w:sz w:val="17"/>
          <w:szCs w:val="17"/>
        </w:rPr>
      </w:pPr>
      <w:r>
        <w:rPr>
          <w:b/>
          <w:color w:val="231F20"/>
          <w:sz w:val="17"/>
          <w:szCs w:val="17"/>
        </w:rPr>
        <w:t xml:space="preserve">47. Horn M., Ries A., Neveu C., Moser K. </w:t>
      </w:r>
      <w:r>
        <w:rPr>
          <w:color w:val="231F20"/>
          <w:sz w:val="17"/>
          <w:szCs w:val="17"/>
        </w:rPr>
        <w:t xml:space="preserve">(1983) Restrictive  Ventilatory Pattern in Precapillary Pulmonary Hypertension. American  Review of Respiratory Disease, 128(1): 163–165. doi.org/10.1164/ arrd.1983.128.1.163. </w:t>
      </w:r>
    </w:p>
    <w:p w:rsidR="001F332D" w:rsidRDefault="006E68E8">
      <w:pPr>
        <w:widowControl w:val="0"/>
        <w:pBdr>
          <w:top w:val="nil"/>
          <w:left w:val="nil"/>
          <w:bottom w:val="nil"/>
          <w:right w:val="nil"/>
          <w:between w:val="nil"/>
        </w:pBdr>
        <w:spacing w:before="6" w:line="242" w:lineRule="auto"/>
        <w:ind w:left="122" w:right="13" w:firstLine="283"/>
        <w:rPr>
          <w:color w:val="231F20"/>
          <w:sz w:val="17"/>
          <w:szCs w:val="17"/>
        </w:rPr>
      </w:pPr>
      <w:r>
        <w:rPr>
          <w:b/>
          <w:color w:val="231F20"/>
          <w:sz w:val="17"/>
          <w:szCs w:val="17"/>
        </w:rPr>
        <w:t xml:space="preserve">48. Jing Z.-C., Xu X.-Q., Badesch D.B. et al. </w:t>
      </w:r>
      <w:r>
        <w:rPr>
          <w:color w:val="231F20"/>
          <w:sz w:val="17"/>
          <w:szCs w:val="17"/>
        </w:rPr>
        <w:t xml:space="preserve">(2009)  Pulmonary function testing in patients with pulmonary arterial  hypertension. Respiratory Medicine, 103(8): 1136–1142. doi. org/10.1016/j.rmed.2009.03.009. </w:t>
      </w:r>
    </w:p>
    <w:p w:rsidR="001F332D" w:rsidRDefault="006E68E8">
      <w:pPr>
        <w:widowControl w:val="0"/>
        <w:pBdr>
          <w:top w:val="nil"/>
          <w:left w:val="nil"/>
          <w:bottom w:val="nil"/>
          <w:right w:val="nil"/>
          <w:between w:val="nil"/>
        </w:pBdr>
        <w:spacing w:before="6" w:line="242" w:lineRule="auto"/>
        <w:ind w:left="122" w:right="11" w:firstLine="283"/>
        <w:rPr>
          <w:color w:val="231F20"/>
          <w:sz w:val="17"/>
          <w:szCs w:val="17"/>
        </w:rPr>
      </w:pPr>
      <w:r>
        <w:rPr>
          <w:b/>
          <w:color w:val="231F20"/>
          <w:sz w:val="17"/>
          <w:szCs w:val="17"/>
        </w:rPr>
        <w:t xml:space="preserve">49. Rich S., Dantzker D.R., Ayres S.M. et al. </w:t>
      </w:r>
      <w:r>
        <w:rPr>
          <w:color w:val="231F20"/>
          <w:sz w:val="17"/>
          <w:szCs w:val="17"/>
        </w:rPr>
        <w:t>(1987)  Primary pulmonary hypertension. A nat</w:t>
      </w:r>
      <w:r>
        <w:rPr>
          <w:color w:val="231F20"/>
          <w:sz w:val="17"/>
          <w:szCs w:val="17"/>
        </w:rPr>
        <w:t xml:space="preserve">ional prospective study. Annals  of Internal Medicine, 107(2): 216–223. doi.org/10.7326/0003-4819- 107-2-216. </w:t>
      </w:r>
    </w:p>
    <w:p w:rsidR="001F332D" w:rsidRDefault="006E68E8">
      <w:pPr>
        <w:widowControl w:val="0"/>
        <w:pBdr>
          <w:top w:val="nil"/>
          <w:left w:val="nil"/>
          <w:bottom w:val="nil"/>
          <w:right w:val="nil"/>
          <w:between w:val="nil"/>
        </w:pBdr>
        <w:spacing w:before="6" w:line="242" w:lineRule="auto"/>
        <w:ind w:left="127" w:right="13" w:firstLine="280"/>
        <w:jc w:val="both"/>
        <w:rPr>
          <w:color w:val="231F20"/>
          <w:sz w:val="17"/>
          <w:szCs w:val="17"/>
        </w:rPr>
      </w:pPr>
      <w:r>
        <w:rPr>
          <w:b/>
          <w:color w:val="231F20"/>
          <w:sz w:val="17"/>
          <w:szCs w:val="17"/>
        </w:rPr>
        <w:t xml:space="preserve">50. Burke C.M., Glanville A.R., Morris A.J. et al. </w:t>
      </w:r>
      <w:r>
        <w:rPr>
          <w:color w:val="231F20"/>
          <w:sz w:val="17"/>
          <w:szCs w:val="17"/>
        </w:rPr>
        <w:t xml:space="preserve">(1987)  Pulmonary function in advanced pulmonary hypertension. Thorax, 42(2):  131–135. doi.org/10.1136/thx.42.2.131. </w:t>
      </w:r>
    </w:p>
    <w:p w:rsidR="001F332D" w:rsidRDefault="006E68E8">
      <w:pPr>
        <w:widowControl w:val="0"/>
        <w:pBdr>
          <w:top w:val="nil"/>
          <w:left w:val="nil"/>
          <w:bottom w:val="nil"/>
          <w:right w:val="nil"/>
          <w:between w:val="nil"/>
        </w:pBdr>
        <w:spacing w:before="6" w:line="242" w:lineRule="auto"/>
        <w:ind w:left="116" w:right="13" w:firstLine="290"/>
        <w:rPr>
          <w:color w:val="231F20"/>
          <w:sz w:val="17"/>
          <w:szCs w:val="17"/>
        </w:rPr>
      </w:pPr>
      <w:r>
        <w:rPr>
          <w:b/>
          <w:color w:val="231F20"/>
          <w:sz w:val="17"/>
          <w:szCs w:val="17"/>
        </w:rPr>
        <w:t xml:space="preserve">51. D’Alonzo G.E., Bower J.S., Dantzker D.R. </w:t>
      </w:r>
      <w:r>
        <w:rPr>
          <w:color w:val="231F20"/>
          <w:sz w:val="17"/>
          <w:szCs w:val="17"/>
        </w:rPr>
        <w:t xml:space="preserve">(1984) clinical  investigations. Chest, 85(4): 457–461. doi.org/10.1378/chest.85.4.457. </w:t>
      </w:r>
      <w:r>
        <w:rPr>
          <w:b/>
          <w:color w:val="231F20"/>
          <w:sz w:val="17"/>
          <w:szCs w:val="17"/>
        </w:rPr>
        <w:t xml:space="preserve">52. </w:t>
      </w:r>
      <w:r>
        <w:rPr>
          <w:b/>
          <w:color w:val="231F20"/>
          <w:sz w:val="17"/>
          <w:szCs w:val="17"/>
        </w:rPr>
        <w:t xml:space="preserve">Meyer F.J. </w:t>
      </w:r>
      <w:r>
        <w:rPr>
          <w:color w:val="231F20"/>
          <w:sz w:val="17"/>
          <w:szCs w:val="17"/>
        </w:rPr>
        <w:t xml:space="preserve">(2002) Peripheral airway obstruction in primary  pulmonary hypertension. Thorax, 57(6): 473–476. doi.org/10.1136/ thorax.57.6.473. </w:t>
      </w:r>
    </w:p>
    <w:p w:rsidR="001F332D" w:rsidRDefault="006E68E8">
      <w:pPr>
        <w:widowControl w:val="0"/>
        <w:pBdr>
          <w:top w:val="nil"/>
          <w:left w:val="nil"/>
          <w:bottom w:val="nil"/>
          <w:right w:val="nil"/>
          <w:between w:val="nil"/>
        </w:pBdr>
        <w:spacing w:before="6" w:line="242" w:lineRule="auto"/>
        <w:ind w:left="121" w:right="11" w:firstLine="286"/>
        <w:rPr>
          <w:color w:val="231F20"/>
          <w:sz w:val="17"/>
          <w:szCs w:val="17"/>
        </w:rPr>
      </w:pPr>
      <w:r>
        <w:rPr>
          <w:b/>
          <w:color w:val="231F20"/>
          <w:sz w:val="17"/>
          <w:szCs w:val="17"/>
        </w:rPr>
        <w:t xml:space="preserve">53. Panagopoulos P.K., Goules A.V., Georgakopou lou V.E. et al. </w:t>
      </w:r>
      <w:r>
        <w:rPr>
          <w:color w:val="231F20"/>
          <w:sz w:val="17"/>
          <w:szCs w:val="17"/>
        </w:rPr>
        <w:t>(2022) Small airways dysfunction in patients with</w:t>
      </w:r>
      <w:r>
        <w:rPr>
          <w:color w:val="231F20"/>
          <w:sz w:val="17"/>
          <w:szCs w:val="17"/>
        </w:rPr>
        <w:t xml:space="preserve">  systemic sclerosis and interstitial lung disease. Frontiers in Medicine,  9: 1016898. doi.org/10.3389/fmed.2022.1016898. </w:t>
      </w:r>
    </w:p>
    <w:p w:rsidR="001F332D" w:rsidRDefault="006E68E8">
      <w:pPr>
        <w:widowControl w:val="0"/>
        <w:pBdr>
          <w:top w:val="nil"/>
          <w:left w:val="nil"/>
          <w:bottom w:val="nil"/>
          <w:right w:val="nil"/>
          <w:between w:val="nil"/>
        </w:pBdr>
        <w:spacing w:before="6" w:line="242" w:lineRule="auto"/>
        <w:ind w:left="116" w:right="11" w:firstLine="291"/>
        <w:jc w:val="both"/>
        <w:rPr>
          <w:color w:val="231F20"/>
          <w:sz w:val="17"/>
          <w:szCs w:val="17"/>
        </w:rPr>
      </w:pPr>
      <w:r>
        <w:rPr>
          <w:b/>
          <w:color w:val="231F20"/>
          <w:sz w:val="17"/>
          <w:szCs w:val="17"/>
        </w:rPr>
        <w:t xml:space="preserve">54. Arunthari V., Burger C.D., Lee A.S. </w:t>
      </w:r>
      <w:r>
        <w:rPr>
          <w:color w:val="231F20"/>
          <w:sz w:val="17"/>
          <w:szCs w:val="17"/>
        </w:rPr>
        <w:t xml:space="preserve">(2011) Correlation of  pulmonary function variables with hemodynamic measurements in patients  with pulmonary arterial hypertension. The Clinical Respiratory Journal,  5(1): 35–43. doi.org/10.1111/j.1752-699X.2010.00188.x. </w:t>
      </w:r>
    </w:p>
    <w:p w:rsidR="001F332D" w:rsidRDefault="006E68E8">
      <w:pPr>
        <w:widowControl w:val="0"/>
        <w:pBdr>
          <w:top w:val="nil"/>
          <w:left w:val="nil"/>
          <w:bottom w:val="nil"/>
          <w:right w:val="nil"/>
          <w:between w:val="nil"/>
        </w:pBdr>
        <w:spacing w:before="6" w:line="242" w:lineRule="auto"/>
        <w:ind w:left="117" w:right="13" w:firstLine="289"/>
        <w:jc w:val="both"/>
        <w:rPr>
          <w:color w:val="231F20"/>
          <w:sz w:val="17"/>
          <w:szCs w:val="17"/>
        </w:rPr>
      </w:pPr>
      <w:r>
        <w:rPr>
          <w:b/>
          <w:color w:val="231F20"/>
          <w:sz w:val="17"/>
          <w:szCs w:val="17"/>
        </w:rPr>
        <w:t>55. Szturmowicz M., Kacprzak A.,</w:t>
      </w:r>
      <w:r>
        <w:rPr>
          <w:b/>
          <w:color w:val="231F20"/>
          <w:sz w:val="17"/>
          <w:szCs w:val="17"/>
        </w:rPr>
        <w:t xml:space="preserve"> Franczuk M. et al.  </w:t>
      </w:r>
      <w:r>
        <w:rPr>
          <w:color w:val="231F20"/>
          <w:sz w:val="17"/>
          <w:szCs w:val="17"/>
        </w:rPr>
        <w:t xml:space="preserve">(2016) Low DLCO in idiopathic pulmonary arterial hypertension —  clinical correlates and prognostic significance. Pneumonologia i  Alergologia Polska, 84(2): 87–94. doi.org/10.5603/PiAP.2016.0006. </w:t>
      </w:r>
    </w:p>
    <w:p w:rsidR="001F332D" w:rsidRDefault="006E68E8">
      <w:pPr>
        <w:widowControl w:val="0"/>
        <w:pBdr>
          <w:top w:val="nil"/>
          <w:left w:val="nil"/>
          <w:bottom w:val="nil"/>
          <w:right w:val="nil"/>
          <w:between w:val="nil"/>
        </w:pBdr>
        <w:spacing w:before="6" w:line="242" w:lineRule="auto"/>
        <w:ind w:left="123" w:right="10" w:firstLine="283"/>
        <w:jc w:val="both"/>
        <w:rPr>
          <w:color w:val="231F20"/>
          <w:sz w:val="17"/>
          <w:szCs w:val="17"/>
        </w:rPr>
      </w:pPr>
      <w:r>
        <w:rPr>
          <w:b/>
          <w:color w:val="231F20"/>
          <w:sz w:val="17"/>
          <w:szCs w:val="17"/>
        </w:rPr>
        <w:t>56. Bernstein E.J., Jaafar S., Assass</w:t>
      </w:r>
      <w:r>
        <w:rPr>
          <w:b/>
          <w:color w:val="231F20"/>
          <w:sz w:val="17"/>
          <w:szCs w:val="17"/>
        </w:rPr>
        <w:t xml:space="preserve">i S. et al. </w:t>
      </w:r>
      <w:r>
        <w:rPr>
          <w:color w:val="231F20"/>
          <w:sz w:val="17"/>
          <w:szCs w:val="17"/>
        </w:rPr>
        <w:t xml:space="preserve">(2020)  Performance Characteristics of Pulmonary Function Tests for the  Detection of Interstitial Lung Disease in Adults With Early Diffuse  Cutaneous Systemic Sclerosis. Arthritis &amp; Rheumatology, 72(11): 1892– </w:t>
      </w:r>
    </w:p>
    <w:p w:rsidR="001F332D" w:rsidRDefault="006E68E8">
      <w:pPr>
        <w:widowControl w:val="0"/>
        <w:pBdr>
          <w:top w:val="nil"/>
          <w:left w:val="nil"/>
          <w:bottom w:val="nil"/>
          <w:right w:val="nil"/>
          <w:between w:val="nil"/>
        </w:pBdr>
        <w:spacing w:before="6" w:line="240" w:lineRule="auto"/>
        <w:ind w:left="133"/>
        <w:rPr>
          <w:color w:val="231F20"/>
          <w:sz w:val="17"/>
          <w:szCs w:val="17"/>
        </w:rPr>
      </w:pPr>
      <w:r>
        <w:rPr>
          <w:color w:val="231F20"/>
          <w:sz w:val="17"/>
          <w:szCs w:val="17"/>
        </w:rPr>
        <w:t xml:space="preserve">1896. doi.org/10.1002/art.41415. </w:t>
      </w:r>
    </w:p>
    <w:p w:rsidR="001F332D" w:rsidRDefault="006E68E8">
      <w:pPr>
        <w:widowControl w:val="0"/>
        <w:pBdr>
          <w:top w:val="nil"/>
          <w:left w:val="nil"/>
          <w:bottom w:val="nil"/>
          <w:right w:val="nil"/>
          <w:between w:val="nil"/>
        </w:pBdr>
        <w:spacing w:before="8" w:line="242" w:lineRule="auto"/>
        <w:ind w:left="122" w:right="12" w:firstLine="285"/>
        <w:rPr>
          <w:color w:val="231F20"/>
          <w:sz w:val="17"/>
          <w:szCs w:val="17"/>
        </w:rPr>
      </w:pPr>
      <w:r>
        <w:rPr>
          <w:b/>
          <w:color w:val="231F20"/>
          <w:sz w:val="17"/>
          <w:szCs w:val="17"/>
        </w:rPr>
        <w:t xml:space="preserve">57. Mulkoju R., Saka V.K., Rajaram M. et al. </w:t>
      </w:r>
      <w:r>
        <w:rPr>
          <w:color w:val="231F20"/>
          <w:sz w:val="17"/>
          <w:szCs w:val="17"/>
        </w:rPr>
        <w:t xml:space="preserve">(2020)  Pulmonary Manifestations in Systemic Sclerosis: Hospital-Based  Descriptive Study. Cureus, 12(6): e8649. doi.org/10.7759/ cureus.8649. </w:t>
      </w:r>
    </w:p>
    <w:p w:rsidR="001F332D" w:rsidRDefault="006E68E8">
      <w:pPr>
        <w:widowControl w:val="0"/>
        <w:pBdr>
          <w:top w:val="nil"/>
          <w:left w:val="nil"/>
          <w:bottom w:val="nil"/>
          <w:right w:val="nil"/>
          <w:between w:val="nil"/>
        </w:pBdr>
        <w:spacing w:before="6" w:line="242" w:lineRule="auto"/>
        <w:ind w:left="116" w:right="11" w:firstLine="291"/>
        <w:jc w:val="both"/>
        <w:rPr>
          <w:color w:val="231F20"/>
          <w:sz w:val="17"/>
          <w:szCs w:val="17"/>
        </w:rPr>
      </w:pPr>
      <w:r>
        <w:rPr>
          <w:b/>
          <w:color w:val="231F20"/>
          <w:sz w:val="17"/>
          <w:szCs w:val="17"/>
        </w:rPr>
        <w:t>58. Guillén-Del-Castillo A., Mese</w:t>
      </w:r>
      <w:r>
        <w:rPr>
          <w:b/>
          <w:color w:val="231F20"/>
          <w:sz w:val="17"/>
          <w:szCs w:val="17"/>
        </w:rPr>
        <w:t xml:space="preserve">guer M.L., Fonollosa-Pla  V. et al.; REHAP Consortium </w:t>
      </w:r>
      <w:r>
        <w:rPr>
          <w:color w:val="231F20"/>
          <w:sz w:val="17"/>
          <w:szCs w:val="17"/>
        </w:rPr>
        <w:t xml:space="preserve">(2022) Impact of interstitial lung disease  on the survival of systemic sclerosis with pulmonary arterial hypertension.  Scientific Reports, 12(1): 5289. doi.org/10.1038/s41598-022-09353-z. </w:t>
      </w:r>
    </w:p>
    <w:p w:rsidR="001F332D" w:rsidRDefault="006E68E8">
      <w:pPr>
        <w:widowControl w:val="0"/>
        <w:pBdr>
          <w:top w:val="nil"/>
          <w:left w:val="nil"/>
          <w:bottom w:val="nil"/>
          <w:right w:val="nil"/>
          <w:between w:val="nil"/>
        </w:pBdr>
        <w:spacing w:before="6" w:line="242" w:lineRule="auto"/>
        <w:ind w:left="123" w:right="11" w:firstLine="283"/>
        <w:jc w:val="both"/>
        <w:rPr>
          <w:color w:val="231F20"/>
          <w:sz w:val="17"/>
          <w:szCs w:val="17"/>
        </w:rPr>
      </w:pPr>
      <w:r>
        <w:rPr>
          <w:b/>
          <w:color w:val="231F20"/>
          <w:sz w:val="17"/>
          <w:szCs w:val="17"/>
        </w:rPr>
        <w:t xml:space="preserve">59. Chaigne B., Bense A., Aubourg F. et al.; French  Systemic Sclerosis Network </w:t>
      </w:r>
      <w:r>
        <w:rPr>
          <w:color w:val="231F20"/>
          <w:sz w:val="17"/>
          <w:szCs w:val="17"/>
        </w:rPr>
        <w:t>(2025) Total lung capacity is  predictive of disease severity and survival in systemic sclerosis: A  longitudinal analysis in 2347 patients from the French National Cohort  Stu</w:t>
      </w:r>
      <w:r>
        <w:rPr>
          <w:color w:val="231F20"/>
          <w:sz w:val="17"/>
          <w:szCs w:val="17"/>
        </w:rPr>
        <w:t xml:space="preserve">dy. Journal of Autoimmunity, 152: 103391. doi.org/10.1016/j. </w:t>
      </w:r>
    </w:p>
    <w:p w:rsidR="001F332D" w:rsidRDefault="006E68E8">
      <w:pPr>
        <w:widowControl w:val="0"/>
        <w:pBdr>
          <w:top w:val="nil"/>
          <w:left w:val="nil"/>
          <w:bottom w:val="nil"/>
          <w:right w:val="nil"/>
          <w:between w:val="nil"/>
        </w:pBdr>
        <w:spacing w:before="6" w:line="240" w:lineRule="auto"/>
        <w:ind w:left="115"/>
        <w:rPr>
          <w:color w:val="231F20"/>
          <w:sz w:val="17"/>
          <w:szCs w:val="17"/>
        </w:rPr>
        <w:sectPr w:rsidR="001F332D">
          <w:type w:val="continuous"/>
          <w:pgSz w:w="11320" w:h="16040"/>
          <w:pgMar w:top="494" w:right="675" w:bottom="587" w:left="1134" w:header="0" w:footer="720" w:gutter="0"/>
          <w:cols w:num="2" w:space="720" w:equalWidth="0">
            <w:col w:w="4760" w:space="0"/>
            <w:col w:w="4760" w:space="0"/>
          </w:cols>
        </w:sectPr>
      </w:pPr>
      <w:r>
        <w:rPr>
          <w:color w:val="231F20"/>
          <w:sz w:val="17"/>
          <w:szCs w:val="17"/>
        </w:rPr>
        <w:t xml:space="preserve">jaut.2025.103391. </w:t>
      </w:r>
    </w:p>
    <w:p w:rsidR="001F332D" w:rsidRDefault="006E68E8">
      <w:pPr>
        <w:widowControl w:val="0"/>
        <w:pBdr>
          <w:top w:val="nil"/>
          <w:left w:val="nil"/>
          <w:bottom w:val="nil"/>
          <w:right w:val="nil"/>
          <w:between w:val="nil"/>
        </w:pBdr>
        <w:spacing w:before="162" w:line="240" w:lineRule="auto"/>
        <w:ind w:right="237"/>
        <w:jc w:val="right"/>
        <w:rPr>
          <w:color w:val="FFFFFF"/>
          <w:sz w:val="24"/>
          <w:szCs w:val="24"/>
        </w:rPr>
        <w:sectPr w:rsidR="001F332D">
          <w:type w:val="continuous"/>
          <w:pgSz w:w="11320" w:h="16040"/>
          <w:pgMar w:top="494" w:right="689" w:bottom="587" w:left="733" w:header="0" w:footer="720" w:gutter="0"/>
          <w:cols w:space="720" w:equalWidth="0">
            <w:col w:w="9897" w:space="0"/>
          </w:cols>
        </w:sectPr>
      </w:pPr>
      <w:r>
        <w:rPr>
          <w:color w:val="485E88"/>
          <w:sz w:val="26"/>
          <w:szCs w:val="26"/>
          <w:vertAlign w:val="superscript"/>
        </w:rPr>
        <w:lastRenderedPageBreak/>
        <w:t xml:space="preserve">УКРАЇНСЬКИЙ РЕВМАТОЛОГІЧНИЙ ЖУРНАЛ • № 1 (99) • 2025 </w:t>
      </w:r>
      <w:r>
        <w:rPr>
          <w:color w:val="FFFFFF"/>
          <w:sz w:val="24"/>
          <w:szCs w:val="24"/>
        </w:rPr>
        <w:t xml:space="preserve">9 </w:t>
      </w:r>
    </w:p>
    <w:p w:rsidR="001F332D" w:rsidRDefault="006E68E8">
      <w:pPr>
        <w:widowControl w:val="0"/>
        <w:pBdr>
          <w:top w:val="nil"/>
          <w:left w:val="nil"/>
          <w:bottom w:val="nil"/>
          <w:right w:val="nil"/>
          <w:between w:val="nil"/>
        </w:pBdr>
        <w:spacing w:line="240" w:lineRule="auto"/>
        <w:rPr>
          <w:color w:val="485E88"/>
          <w:sz w:val="24"/>
          <w:szCs w:val="24"/>
        </w:rPr>
      </w:pPr>
      <w:r>
        <w:rPr>
          <w:color w:val="485E88"/>
          <w:sz w:val="24"/>
          <w:szCs w:val="24"/>
        </w:rPr>
        <w:lastRenderedPageBreak/>
        <w:t>ВЛАСНІ СПОСТЕРЕЖЕННЯ</w:t>
      </w:r>
    </w:p>
    <w:p w:rsidR="001F332D" w:rsidRDefault="006E68E8">
      <w:pPr>
        <w:widowControl w:val="0"/>
        <w:pBdr>
          <w:top w:val="nil"/>
          <w:left w:val="nil"/>
          <w:bottom w:val="nil"/>
          <w:right w:val="nil"/>
          <w:between w:val="nil"/>
        </w:pBdr>
        <w:spacing w:before="72" w:line="252" w:lineRule="auto"/>
        <w:ind w:left="264" w:right="753" w:firstLine="16"/>
        <w:jc w:val="both"/>
        <w:rPr>
          <w:b/>
          <w:color w:val="485E88"/>
          <w:sz w:val="20"/>
          <w:szCs w:val="20"/>
        </w:rPr>
      </w:pPr>
      <w:r>
        <w:rPr>
          <w:b/>
          <w:color w:val="485E88"/>
          <w:sz w:val="20"/>
          <w:szCs w:val="20"/>
        </w:rPr>
        <w:t xml:space="preserve">PULMONARY FUNCTION AND LUNG  DIFFUSION CAPACITY IN PATIENTS  WITH PULMONARY HYPERTENSION  ASSOCIATED WITH SYSTEMIC  </w:t>
      </w:r>
    </w:p>
    <w:p w:rsidR="001F332D" w:rsidRDefault="006E68E8">
      <w:pPr>
        <w:widowControl w:val="0"/>
        <w:pBdr>
          <w:top w:val="nil"/>
          <w:left w:val="nil"/>
          <w:bottom w:val="nil"/>
          <w:right w:val="nil"/>
          <w:between w:val="nil"/>
        </w:pBdr>
        <w:spacing w:before="8" w:line="240" w:lineRule="auto"/>
        <w:ind w:left="274"/>
        <w:rPr>
          <w:b/>
          <w:color w:val="485E88"/>
          <w:sz w:val="20"/>
          <w:szCs w:val="20"/>
        </w:rPr>
      </w:pPr>
      <w:r>
        <w:rPr>
          <w:b/>
          <w:color w:val="485E88"/>
          <w:sz w:val="20"/>
          <w:szCs w:val="20"/>
        </w:rPr>
        <w:t xml:space="preserve">CONNECTIVE TISSUE DISEASES  </w:t>
      </w:r>
    </w:p>
    <w:p w:rsidR="001F332D" w:rsidRDefault="006E68E8">
      <w:pPr>
        <w:widowControl w:val="0"/>
        <w:pBdr>
          <w:top w:val="nil"/>
          <w:left w:val="nil"/>
          <w:bottom w:val="nil"/>
          <w:right w:val="nil"/>
          <w:between w:val="nil"/>
        </w:pBdr>
        <w:spacing w:before="19" w:line="252" w:lineRule="auto"/>
        <w:ind w:left="281" w:right="653" w:hanging="6"/>
        <w:rPr>
          <w:b/>
          <w:color w:val="485E88"/>
          <w:sz w:val="20"/>
          <w:szCs w:val="20"/>
        </w:rPr>
      </w:pPr>
      <w:r>
        <w:rPr>
          <w:b/>
          <w:color w:val="485E88"/>
          <w:sz w:val="20"/>
          <w:szCs w:val="20"/>
        </w:rPr>
        <w:t xml:space="preserve">COMPARED WITH OTHER FORMS OF  PULMONARY HYPERTENSION </w:t>
      </w:r>
    </w:p>
    <w:p w:rsidR="001F332D" w:rsidRDefault="006E68E8">
      <w:pPr>
        <w:widowControl w:val="0"/>
        <w:pBdr>
          <w:top w:val="nil"/>
          <w:left w:val="nil"/>
          <w:bottom w:val="nil"/>
          <w:right w:val="nil"/>
          <w:between w:val="nil"/>
        </w:pBdr>
        <w:spacing w:before="63" w:line="240" w:lineRule="auto"/>
        <w:ind w:right="685"/>
        <w:jc w:val="right"/>
        <w:rPr>
          <w:b/>
          <w:i/>
          <w:color w:val="231F20"/>
          <w:sz w:val="19"/>
          <w:szCs w:val="19"/>
        </w:rPr>
      </w:pPr>
      <w:r>
        <w:rPr>
          <w:b/>
          <w:i/>
          <w:color w:val="231F20"/>
          <w:sz w:val="19"/>
          <w:szCs w:val="19"/>
        </w:rPr>
        <w:t xml:space="preserve">S.O. Progonov, G.D. Radchenko,  </w:t>
      </w:r>
    </w:p>
    <w:p w:rsidR="001F332D" w:rsidRDefault="006E68E8">
      <w:pPr>
        <w:widowControl w:val="0"/>
        <w:pBdr>
          <w:top w:val="nil"/>
          <w:left w:val="nil"/>
          <w:bottom w:val="nil"/>
          <w:right w:val="nil"/>
          <w:between w:val="nil"/>
        </w:pBdr>
        <w:spacing w:before="19" w:line="240" w:lineRule="auto"/>
        <w:ind w:right="1551"/>
        <w:jc w:val="right"/>
        <w:rPr>
          <w:b/>
          <w:i/>
          <w:color w:val="231F20"/>
          <w:sz w:val="19"/>
          <w:szCs w:val="19"/>
        </w:rPr>
      </w:pPr>
      <w:r>
        <w:rPr>
          <w:b/>
          <w:i/>
          <w:color w:val="231F20"/>
          <w:sz w:val="19"/>
          <w:szCs w:val="19"/>
        </w:rPr>
        <w:t xml:space="preserve">O.P. Bortkevych </w:t>
      </w:r>
    </w:p>
    <w:p w:rsidR="001F332D" w:rsidRDefault="006E68E8">
      <w:pPr>
        <w:widowControl w:val="0"/>
        <w:pBdr>
          <w:top w:val="nil"/>
          <w:left w:val="nil"/>
          <w:bottom w:val="nil"/>
          <w:right w:val="nil"/>
          <w:between w:val="nil"/>
        </w:pBdr>
        <w:spacing w:before="132" w:line="253" w:lineRule="auto"/>
        <w:ind w:left="318" w:right="188"/>
        <w:jc w:val="center"/>
        <w:rPr>
          <w:i/>
          <w:color w:val="231F20"/>
          <w:sz w:val="19"/>
          <w:szCs w:val="19"/>
        </w:rPr>
      </w:pPr>
      <w:r>
        <w:rPr>
          <w:i/>
          <w:color w:val="231F20"/>
          <w:sz w:val="19"/>
          <w:szCs w:val="19"/>
        </w:rPr>
        <w:lastRenderedPageBreak/>
        <w:t xml:space="preserve">National Scientific Center «M.D. Strazhesko  Institute of Cardiology, Clinical and Regenerative  Medicine» of NAMS of Ukraine, Kyiv </w:t>
      </w:r>
    </w:p>
    <w:p w:rsidR="001F332D" w:rsidRDefault="006E68E8">
      <w:pPr>
        <w:widowControl w:val="0"/>
        <w:pBdr>
          <w:top w:val="nil"/>
          <w:left w:val="nil"/>
          <w:bottom w:val="nil"/>
          <w:right w:val="nil"/>
          <w:between w:val="nil"/>
        </w:pBdr>
        <w:spacing w:before="121" w:line="253" w:lineRule="auto"/>
        <w:ind w:left="261" w:right="140" w:firstLine="2"/>
        <w:rPr>
          <w:i/>
          <w:color w:val="231F20"/>
          <w:sz w:val="19"/>
          <w:szCs w:val="19"/>
        </w:rPr>
      </w:pPr>
      <w:r>
        <w:rPr>
          <w:b/>
          <w:color w:val="231F20"/>
          <w:sz w:val="19"/>
          <w:szCs w:val="19"/>
        </w:rPr>
        <w:t xml:space="preserve">Abstract. </w:t>
      </w:r>
      <w:r>
        <w:rPr>
          <w:b/>
          <w:i/>
          <w:color w:val="231F20"/>
          <w:sz w:val="19"/>
          <w:szCs w:val="19"/>
        </w:rPr>
        <w:t xml:space="preserve">The aim. </w:t>
      </w:r>
      <w:r>
        <w:rPr>
          <w:i/>
          <w:color w:val="231F20"/>
          <w:sz w:val="19"/>
          <w:szCs w:val="19"/>
        </w:rPr>
        <w:t>To compare the indicators  of pulmonary function (PF) and diffusion capac ity of the lungs for carbon monoxide (DLCO) in  patients with pulmonary arterial hypertension  (PAH) associated with systemic connective tis sue diseases (SCTD) and other forms of pu</w:t>
      </w:r>
      <w:r>
        <w:rPr>
          <w:i/>
          <w:color w:val="231F20"/>
          <w:sz w:val="19"/>
          <w:szCs w:val="19"/>
        </w:rPr>
        <w:t xml:space="preserve">lmo nary hypertension (PH). </w:t>
      </w:r>
      <w:r>
        <w:rPr>
          <w:b/>
          <w:i/>
          <w:color w:val="231F20"/>
          <w:sz w:val="19"/>
          <w:szCs w:val="19"/>
        </w:rPr>
        <w:t xml:space="preserve">Materials and meth ods. </w:t>
      </w:r>
      <w:r>
        <w:rPr>
          <w:i/>
          <w:color w:val="231F20"/>
          <w:sz w:val="19"/>
          <w:szCs w:val="19"/>
        </w:rPr>
        <w:t xml:space="preserve">60 </w:t>
      </w:r>
      <w:r>
        <w:rPr>
          <w:i/>
          <w:color w:val="231F20"/>
          <w:sz w:val="19"/>
          <w:szCs w:val="19"/>
        </w:rPr>
        <w:lastRenderedPageBreak/>
        <w:t>patients from 4 statistically comparable  groups were included: 15 patients with idiopath ic PAH (IPAH), 15 with PAH associated with con genital heart disease (PAH-CHD), 15 with chron ic thromboembolic</w:t>
      </w:r>
      <w:r>
        <w:rPr>
          <w:i/>
          <w:color w:val="231F20"/>
          <w:sz w:val="19"/>
          <w:szCs w:val="19"/>
        </w:rPr>
        <w:t xml:space="preserve"> PAH (CTEPH), 15 with PAH SCTD. There were assessed vital lung capacity  (VC), forced vital capacity (FVC), forced expira tory volume in 1 second (FEV1), DLCO and total  </w:t>
      </w:r>
    </w:p>
    <w:p w:rsidR="001F332D" w:rsidRDefault="006E68E8">
      <w:pPr>
        <w:widowControl w:val="0"/>
        <w:pBdr>
          <w:top w:val="nil"/>
          <w:left w:val="nil"/>
          <w:bottom w:val="nil"/>
          <w:right w:val="nil"/>
          <w:between w:val="nil"/>
        </w:pBdr>
        <w:spacing w:before="127" w:line="240" w:lineRule="auto"/>
        <w:ind w:left="325"/>
        <w:rPr>
          <w:b/>
          <w:color w:val="231F20"/>
          <w:sz w:val="19"/>
          <w:szCs w:val="19"/>
        </w:rPr>
      </w:pPr>
      <w:r>
        <w:rPr>
          <w:b/>
          <w:color w:val="231F20"/>
          <w:sz w:val="19"/>
          <w:szCs w:val="19"/>
        </w:rPr>
        <w:t xml:space="preserve">Відомості про авторів </w:t>
      </w:r>
    </w:p>
    <w:p w:rsidR="001F332D" w:rsidRDefault="006E68E8">
      <w:pPr>
        <w:widowControl w:val="0"/>
        <w:pBdr>
          <w:top w:val="nil"/>
          <w:left w:val="nil"/>
          <w:bottom w:val="nil"/>
          <w:right w:val="nil"/>
          <w:between w:val="nil"/>
        </w:pBdr>
        <w:spacing w:before="355" w:line="251" w:lineRule="auto"/>
        <w:ind w:left="377" w:right="23" w:firstLine="7"/>
        <w:rPr>
          <w:i/>
          <w:color w:val="231F20"/>
          <w:sz w:val="19"/>
          <w:szCs w:val="19"/>
        </w:rPr>
      </w:pPr>
      <w:r>
        <w:rPr>
          <w:i/>
          <w:color w:val="231F20"/>
          <w:sz w:val="19"/>
          <w:szCs w:val="19"/>
        </w:rPr>
        <w:t xml:space="preserve">lung capacity (TLC), performed right heart cath eterization (RHC). </w:t>
      </w:r>
      <w:r>
        <w:rPr>
          <w:b/>
          <w:i/>
          <w:color w:val="231F20"/>
          <w:sz w:val="19"/>
          <w:szCs w:val="19"/>
        </w:rPr>
        <w:t xml:space="preserve">Results. </w:t>
      </w:r>
      <w:r>
        <w:rPr>
          <w:i/>
          <w:color w:val="231F20"/>
          <w:sz w:val="19"/>
          <w:szCs w:val="19"/>
        </w:rPr>
        <w:t>The biggest statis tically significant decrease in PF indicators was  observed in the group of patients with PAH-CHD,  DLCO — in PAH-SCTD. Independent statistical  correlations wer</w:t>
      </w:r>
      <w:r>
        <w:rPr>
          <w:i/>
          <w:color w:val="231F20"/>
          <w:sz w:val="19"/>
          <w:szCs w:val="19"/>
        </w:rPr>
        <w:t xml:space="preserve">e between VC (p = 0.037) and  FEV1 (p = 0.027) and the presence of CHD; be tween FVC and the volumetric index of right atria  (RA) (p = 0.009); between DLCO and the 6-min ute walking distance (p=0.009), mean pulmonary  </w:t>
      </w:r>
      <w:r>
        <w:rPr>
          <w:i/>
          <w:color w:val="231F20"/>
          <w:sz w:val="19"/>
          <w:szCs w:val="19"/>
        </w:rPr>
        <w:lastRenderedPageBreak/>
        <w:t>artery pressure (p=0.040), mean right</w:t>
      </w:r>
      <w:r>
        <w:rPr>
          <w:i/>
          <w:color w:val="231F20"/>
          <w:sz w:val="19"/>
          <w:szCs w:val="19"/>
        </w:rPr>
        <w:t xml:space="preserve"> ventricular  pressure (p=0.002), presence of systemic scle rosis (SS) (p &lt;0.001); between TLC and the volu metric index of RA (p=0.003) and presence of SS  (p=0.006). </w:t>
      </w:r>
      <w:r>
        <w:rPr>
          <w:b/>
          <w:i/>
          <w:color w:val="231F20"/>
          <w:sz w:val="19"/>
          <w:szCs w:val="19"/>
        </w:rPr>
        <w:t xml:space="preserve">Conclusions. </w:t>
      </w:r>
      <w:r>
        <w:rPr>
          <w:i/>
          <w:color w:val="231F20"/>
          <w:sz w:val="19"/>
          <w:szCs w:val="19"/>
        </w:rPr>
        <w:t xml:space="preserve">A significant decrease  in DLCO and TLC in patients with SCTD against  the </w:t>
      </w:r>
      <w:r>
        <w:rPr>
          <w:i/>
          <w:color w:val="231F20"/>
          <w:sz w:val="19"/>
          <w:szCs w:val="19"/>
        </w:rPr>
        <w:t>background of almost normal PF indicators  confirmed the need for their determination in all  patients with PAH-SCTD, in addition to standard  spirometry indicators. DLCO and TLC were sig nificantly associated with the functional state of  patients and hem</w:t>
      </w:r>
      <w:r>
        <w:rPr>
          <w:i/>
          <w:color w:val="231F20"/>
          <w:sz w:val="19"/>
          <w:szCs w:val="19"/>
        </w:rPr>
        <w:t xml:space="preserve">odynamic impairment. </w:t>
      </w:r>
    </w:p>
    <w:p w:rsidR="001F332D" w:rsidRDefault="006E68E8">
      <w:pPr>
        <w:widowControl w:val="0"/>
        <w:pBdr>
          <w:top w:val="nil"/>
          <w:left w:val="nil"/>
          <w:bottom w:val="nil"/>
          <w:right w:val="nil"/>
          <w:between w:val="nil"/>
        </w:pBdr>
        <w:spacing w:before="178" w:line="251" w:lineRule="auto"/>
        <w:ind w:left="388" w:right="721" w:firstLine="7"/>
        <w:rPr>
          <w:color w:val="231F20"/>
          <w:sz w:val="19"/>
          <w:szCs w:val="19"/>
        </w:rPr>
      </w:pPr>
      <w:r>
        <w:rPr>
          <w:b/>
          <w:color w:val="231F20"/>
          <w:sz w:val="19"/>
          <w:szCs w:val="19"/>
        </w:rPr>
        <w:t xml:space="preserve">Key words: </w:t>
      </w:r>
      <w:r>
        <w:rPr>
          <w:color w:val="231F20"/>
          <w:sz w:val="19"/>
          <w:szCs w:val="19"/>
        </w:rPr>
        <w:t xml:space="preserve">connective tissue diseases,  autoimmune diseases, pulmonary  </w:t>
      </w:r>
    </w:p>
    <w:p w:rsidR="001F332D" w:rsidRDefault="006E68E8">
      <w:pPr>
        <w:widowControl w:val="0"/>
        <w:pBdr>
          <w:top w:val="nil"/>
          <w:left w:val="nil"/>
          <w:bottom w:val="nil"/>
          <w:right w:val="nil"/>
          <w:between w:val="nil"/>
        </w:pBdr>
        <w:spacing w:before="8" w:line="251" w:lineRule="auto"/>
        <w:ind w:left="389" w:right="103" w:firstLine="5"/>
        <w:rPr>
          <w:color w:val="231F20"/>
          <w:sz w:val="19"/>
          <w:szCs w:val="19"/>
        </w:rPr>
      </w:pPr>
      <w:r>
        <w:rPr>
          <w:color w:val="231F20"/>
          <w:sz w:val="19"/>
          <w:szCs w:val="19"/>
        </w:rPr>
        <w:t xml:space="preserve">hypertension, pulmonary arterial hypertension,  chronic thromboembolic pulmonary  </w:t>
      </w:r>
    </w:p>
    <w:p w:rsidR="001F332D" w:rsidRDefault="006E68E8">
      <w:pPr>
        <w:widowControl w:val="0"/>
        <w:pBdr>
          <w:top w:val="nil"/>
          <w:left w:val="nil"/>
          <w:bottom w:val="nil"/>
          <w:right w:val="nil"/>
          <w:between w:val="nil"/>
        </w:pBdr>
        <w:spacing w:before="8" w:line="251" w:lineRule="auto"/>
        <w:ind w:left="394" w:right="168"/>
        <w:rPr>
          <w:color w:val="231F20"/>
          <w:sz w:val="19"/>
          <w:szCs w:val="19"/>
        </w:rPr>
        <w:sectPr w:rsidR="001F332D">
          <w:type w:val="continuous"/>
          <w:pgSz w:w="11320" w:h="16040"/>
          <w:pgMar w:top="494" w:right="1068" w:bottom="587" w:left="755" w:header="0" w:footer="720" w:gutter="0"/>
          <w:cols w:num="2" w:space="720" w:equalWidth="0">
            <w:col w:w="4760" w:space="0"/>
            <w:col w:w="4760" w:space="0"/>
          </w:cols>
        </w:sectPr>
      </w:pPr>
      <w:r>
        <w:rPr>
          <w:color w:val="231F20"/>
          <w:sz w:val="19"/>
          <w:szCs w:val="19"/>
        </w:rPr>
        <w:t xml:space="preserve">hypertension, pulmonary function, spirometry,  lung diffusion capacity. </w:t>
      </w:r>
    </w:p>
    <w:p w:rsidR="001F332D" w:rsidRDefault="006E68E8">
      <w:pPr>
        <w:widowControl w:val="0"/>
        <w:pBdr>
          <w:top w:val="nil"/>
          <w:left w:val="nil"/>
          <w:bottom w:val="nil"/>
          <w:right w:val="nil"/>
          <w:between w:val="nil"/>
        </w:pBdr>
        <w:spacing w:before="356" w:line="239" w:lineRule="auto"/>
        <w:ind w:left="334" w:right="476" w:firstLine="12"/>
        <w:rPr>
          <w:color w:val="231F20"/>
          <w:sz w:val="19"/>
          <w:szCs w:val="19"/>
        </w:rPr>
      </w:pPr>
      <w:r>
        <w:rPr>
          <w:b/>
          <w:color w:val="231F20"/>
          <w:sz w:val="19"/>
          <w:szCs w:val="19"/>
        </w:rPr>
        <w:lastRenderedPageBreak/>
        <w:t xml:space="preserve">Прогонов Сергій Олександрович </w:t>
      </w:r>
      <w:r>
        <w:rPr>
          <w:color w:val="231F20"/>
          <w:sz w:val="19"/>
          <w:szCs w:val="19"/>
        </w:rPr>
        <w:t>— аспірант відділу вторинних та легеневих гіпертензій ДУ «ННЦ  «Інститут кардіології, клінічної та регенеративної медицини імені акад. М.Д. Стражеска» НА</w:t>
      </w:r>
      <w:r>
        <w:rPr>
          <w:color w:val="231F20"/>
          <w:sz w:val="19"/>
          <w:szCs w:val="19"/>
        </w:rPr>
        <w:t xml:space="preserve">МН  України», м. Київ. </w:t>
      </w:r>
    </w:p>
    <w:p w:rsidR="001F332D" w:rsidRDefault="006E68E8">
      <w:pPr>
        <w:widowControl w:val="0"/>
        <w:pBdr>
          <w:top w:val="nil"/>
          <w:left w:val="nil"/>
          <w:bottom w:val="nil"/>
          <w:right w:val="nil"/>
          <w:between w:val="nil"/>
        </w:pBdr>
        <w:spacing w:before="6" w:line="240" w:lineRule="auto"/>
        <w:ind w:left="348"/>
        <w:rPr>
          <w:color w:val="231F20"/>
          <w:sz w:val="19"/>
          <w:szCs w:val="19"/>
        </w:rPr>
      </w:pPr>
      <w:r>
        <w:rPr>
          <w:color w:val="231F20"/>
          <w:sz w:val="19"/>
          <w:szCs w:val="19"/>
        </w:rPr>
        <w:t xml:space="preserve">E-mail: prohonov.physician@gmail.com </w:t>
      </w:r>
    </w:p>
    <w:p w:rsidR="001F332D" w:rsidRDefault="006E68E8">
      <w:pPr>
        <w:widowControl w:val="0"/>
        <w:pBdr>
          <w:top w:val="nil"/>
          <w:left w:val="nil"/>
          <w:bottom w:val="nil"/>
          <w:right w:val="nil"/>
          <w:between w:val="nil"/>
        </w:pBdr>
        <w:spacing w:before="6" w:line="240" w:lineRule="auto"/>
        <w:ind w:left="340"/>
        <w:rPr>
          <w:color w:val="231F20"/>
          <w:sz w:val="19"/>
          <w:szCs w:val="19"/>
        </w:rPr>
      </w:pPr>
      <w:r>
        <w:rPr>
          <w:color w:val="231F20"/>
          <w:sz w:val="19"/>
          <w:szCs w:val="19"/>
        </w:rPr>
        <w:t xml:space="preserve">ORCID ID: 0009-0000-8851-3115 </w:t>
      </w:r>
    </w:p>
    <w:p w:rsidR="001F332D" w:rsidRDefault="006E68E8">
      <w:pPr>
        <w:widowControl w:val="0"/>
        <w:pBdr>
          <w:top w:val="nil"/>
          <w:left w:val="nil"/>
          <w:bottom w:val="nil"/>
          <w:right w:val="nil"/>
          <w:between w:val="nil"/>
        </w:pBdr>
        <w:spacing w:before="6" w:line="239" w:lineRule="auto"/>
        <w:ind w:left="345" w:right="564"/>
        <w:rPr>
          <w:color w:val="231F20"/>
          <w:sz w:val="19"/>
          <w:szCs w:val="19"/>
        </w:rPr>
      </w:pPr>
      <w:r>
        <w:rPr>
          <w:b/>
          <w:color w:val="231F20"/>
          <w:sz w:val="19"/>
          <w:szCs w:val="19"/>
        </w:rPr>
        <w:t xml:space="preserve">Радченко Ганна Дмитрівна </w:t>
      </w:r>
      <w:r>
        <w:rPr>
          <w:color w:val="231F20"/>
          <w:sz w:val="19"/>
          <w:szCs w:val="19"/>
        </w:rPr>
        <w:t xml:space="preserve">— завідувачка відділу вторинних та легеневих гіпертензій, професор ка, докторка медичних наук, ДУ «ННЦ «Інститут кардіології, клінічної та регенеративної медицини  імені акад. М.Д. Стражеска» НАМН України»,м. Київ.  </w:t>
      </w:r>
    </w:p>
    <w:p w:rsidR="001F332D" w:rsidRDefault="006E68E8">
      <w:pPr>
        <w:widowControl w:val="0"/>
        <w:pBdr>
          <w:top w:val="nil"/>
          <w:left w:val="nil"/>
          <w:bottom w:val="nil"/>
          <w:right w:val="nil"/>
          <w:between w:val="nil"/>
        </w:pBdr>
        <w:spacing w:before="6" w:line="240" w:lineRule="auto"/>
        <w:ind w:left="348"/>
        <w:rPr>
          <w:color w:val="231F20"/>
          <w:sz w:val="19"/>
          <w:szCs w:val="19"/>
        </w:rPr>
      </w:pPr>
      <w:r>
        <w:rPr>
          <w:color w:val="231F20"/>
          <w:sz w:val="19"/>
          <w:szCs w:val="19"/>
        </w:rPr>
        <w:t xml:space="preserve">E-mail: rganna1970@ukr.net </w:t>
      </w:r>
    </w:p>
    <w:p w:rsidR="001F332D" w:rsidRDefault="006E68E8">
      <w:pPr>
        <w:widowControl w:val="0"/>
        <w:pBdr>
          <w:top w:val="nil"/>
          <w:left w:val="nil"/>
          <w:bottom w:val="nil"/>
          <w:right w:val="nil"/>
          <w:between w:val="nil"/>
        </w:pBdr>
        <w:spacing w:before="6" w:line="240" w:lineRule="auto"/>
        <w:ind w:left="340"/>
        <w:rPr>
          <w:color w:val="231F20"/>
          <w:sz w:val="19"/>
          <w:szCs w:val="19"/>
        </w:rPr>
      </w:pPr>
      <w:r>
        <w:rPr>
          <w:color w:val="231F20"/>
          <w:sz w:val="19"/>
          <w:szCs w:val="19"/>
        </w:rPr>
        <w:t>ORCID ID: 0</w:t>
      </w:r>
      <w:r>
        <w:rPr>
          <w:color w:val="231F20"/>
          <w:sz w:val="19"/>
          <w:szCs w:val="19"/>
        </w:rPr>
        <w:t xml:space="preserve">000-0002-3651-3014  </w:t>
      </w:r>
    </w:p>
    <w:p w:rsidR="001F332D" w:rsidRDefault="006E68E8">
      <w:pPr>
        <w:widowControl w:val="0"/>
        <w:pBdr>
          <w:top w:val="nil"/>
          <w:left w:val="nil"/>
          <w:bottom w:val="nil"/>
          <w:right w:val="nil"/>
          <w:between w:val="nil"/>
        </w:pBdr>
        <w:spacing w:before="6" w:line="239" w:lineRule="auto"/>
        <w:ind w:left="334" w:right="507" w:firstLine="11"/>
        <w:rPr>
          <w:color w:val="231F20"/>
          <w:sz w:val="19"/>
          <w:szCs w:val="19"/>
        </w:rPr>
      </w:pPr>
      <w:r>
        <w:rPr>
          <w:b/>
          <w:color w:val="231F20"/>
          <w:sz w:val="19"/>
          <w:szCs w:val="19"/>
        </w:rPr>
        <w:t xml:space="preserve">Борткевич Олег Петрович </w:t>
      </w:r>
      <w:r>
        <w:rPr>
          <w:color w:val="231F20"/>
          <w:sz w:val="19"/>
          <w:szCs w:val="19"/>
        </w:rPr>
        <w:t xml:space="preserve">— головний науковий співробітник відділу некоронарних хвороб серця  та ревматології, професор, доктор медичних наук, ДУ «ННЦ «Інститут кардіології, клінічної та реге неративної медицини імені акад. М. Д. Стражеска» НАМН України», м. Київ.  </w:t>
      </w:r>
    </w:p>
    <w:p w:rsidR="001F332D" w:rsidRDefault="006E68E8">
      <w:pPr>
        <w:widowControl w:val="0"/>
        <w:pBdr>
          <w:top w:val="nil"/>
          <w:left w:val="nil"/>
          <w:bottom w:val="nil"/>
          <w:right w:val="nil"/>
          <w:between w:val="nil"/>
        </w:pBdr>
        <w:spacing w:before="6" w:line="240" w:lineRule="auto"/>
        <w:ind w:left="348"/>
        <w:rPr>
          <w:color w:val="231F20"/>
          <w:sz w:val="19"/>
          <w:szCs w:val="19"/>
        </w:rPr>
      </w:pPr>
      <w:r>
        <w:rPr>
          <w:color w:val="231F20"/>
          <w:sz w:val="19"/>
          <w:szCs w:val="19"/>
        </w:rPr>
        <w:t>E-mail: bortkev</w:t>
      </w:r>
      <w:r>
        <w:rPr>
          <w:color w:val="231F20"/>
          <w:sz w:val="19"/>
          <w:szCs w:val="19"/>
        </w:rPr>
        <w:t xml:space="preserve">ych@yahoo.com </w:t>
      </w:r>
    </w:p>
    <w:p w:rsidR="001F332D" w:rsidRDefault="006E68E8">
      <w:pPr>
        <w:widowControl w:val="0"/>
        <w:pBdr>
          <w:top w:val="nil"/>
          <w:left w:val="nil"/>
          <w:bottom w:val="nil"/>
          <w:right w:val="nil"/>
          <w:between w:val="nil"/>
        </w:pBdr>
        <w:spacing w:before="6" w:line="240" w:lineRule="auto"/>
        <w:ind w:left="340"/>
        <w:rPr>
          <w:color w:val="231F20"/>
          <w:sz w:val="19"/>
          <w:szCs w:val="19"/>
        </w:rPr>
      </w:pPr>
      <w:r>
        <w:rPr>
          <w:color w:val="231F20"/>
          <w:sz w:val="19"/>
          <w:szCs w:val="19"/>
        </w:rPr>
        <w:t xml:space="preserve">ORCID ID: 0009-0000-0620-626X  </w:t>
      </w:r>
    </w:p>
    <w:p w:rsidR="001F332D" w:rsidRDefault="006E68E8">
      <w:pPr>
        <w:widowControl w:val="0"/>
        <w:pBdr>
          <w:top w:val="nil"/>
          <w:left w:val="nil"/>
          <w:bottom w:val="nil"/>
          <w:right w:val="nil"/>
          <w:between w:val="nil"/>
        </w:pBdr>
        <w:spacing w:before="62" w:line="240" w:lineRule="auto"/>
        <w:ind w:right="381"/>
        <w:jc w:val="right"/>
        <w:rPr>
          <w:color w:val="231F20"/>
          <w:sz w:val="19"/>
          <w:szCs w:val="19"/>
        </w:rPr>
      </w:pPr>
      <w:r>
        <w:rPr>
          <w:color w:val="231F20"/>
          <w:sz w:val="19"/>
          <w:szCs w:val="19"/>
        </w:rPr>
        <w:t xml:space="preserve">Надійшла до редакції/Received: 21.05.2025  </w:t>
      </w:r>
    </w:p>
    <w:p w:rsidR="001F332D" w:rsidRDefault="006E68E8">
      <w:pPr>
        <w:widowControl w:val="0"/>
        <w:pBdr>
          <w:top w:val="nil"/>
          <w:left w:val="nil"/>
          <w:bottom w:val="nil"/>
          <w:right w:val="nil"/>
          <w:between w:val="nil"/>
        </w:pBdr>
        <w:spacing w:before="17" w:line="240" w:lineRule="auto"/>
        <w:ind w:right="434"/>
        <w:jc w:val="right"/>
        <w:rPr>
          <w:color w:val="231F20"/>
          <w:sz w:val="19"/>
          <w:szCs w:val="19"/>
        </w:rPr>
      </w:pPr>
      <w:r>
        <w:rPr>
          <w:color w:val="231F20"/>
          <w:sz w:val="19"/>
          <w:szCs w:val="19"/>
        </w:rPr>
        <w:t xml:space="preserve">Прийнято до друку/Accepted: 04.06.2025 </w:t>
      </w:r>
    </w:p>
    <w:p w:rsidR="001F332D" w:rsidRDefault="006E68E8">
      <w:pPr>
        <w:widowControl w:val="0"/>
        <w:pBdr>
          <w:top w:val="nil"/>
          <w:left w:val="nil"/>
          <w:bottom w:val="nil"/>
          <w:right w:val="nil"/>
          <w:between w:val="nil"/>
        </w:pBdr>
        <w:spacing w:before="3210" w:line="240" w:lineRule="auto"/>
        <w:ind w:left="145"/>
        <w:rPr>
          <w:color w:val="485E88"/>
          <w:sz w:val="16"/>
          <w:szCs w:val="16"/>
        </w:rPr>
      </w:pPr>
      <w:r>
        <w:rPr>
          <w:color w:val="FFFFFF"/>
          <w:sz w:val="24"/>
          <w:szCs w:val="24"/>
        </w:rPr>
        <w:t xml:space="preserve">1 0 </w:t>
      </w:r>
      <w:r>
        <w:rPr>
          <w:color w:val="485E88"/>
          <w:sz w:val="16"/>
          <w:szCs w:val="16"/>
        </w:rPr>
        <w:t xml:space="preserve">УКРАЇНСЬКИЙ РЕВМАТОЛОГІЧНИЙ ЖУРНАЛ • № 1 (99) • 2025 </w:t>
      </w:r>
    </w:p>
    <w:sectPr w:rsidR="001F332D">
      <w:type w:val="continuous"/>
      <w:pgSz w:w="11320" w:h="16040"/>
      <w:pgMar w:top="494" w:right="689" w:bottom="587" w:left="733" w:header="0" w:footer="720" w:gutter="0"/>
      <w:cols w:space="720" w:equalWidth="0">
        <w:col w:w="9897" w:space="0"/>
      </w:cols>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CC"/>
    <w:family w:val="swiss"/>
    <w:pitch w:val="variable"/>
    <w:sig w:usb0="E0002EFF" w:usb1="C000785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Georgia">
    <w:panose1 w:val="02040502050405020303"/>
    <w:charset w:val="CC"/>
    <w:family w:val="roman"/>
    <w:pitch w:val="variable"/>
    <w:sig w:usb0="00000287" w:usb1="00000000" w:usb2="00000000" w:usb3="00000000" w:csb0="0000009F" w:csb1="00000000"/>
  </w:font>
  <w:font w:name="Arial Unicode MS">
    <w:altName w:val="Arial"/>
    <w:panose1 w:val="020B0604020202020204"/>
    <w:charset w:val="00"/>
    <w:family w:val="auto"/>
    <w:pitch w:val="default"/>
  </w:font>
  <w:font w:name="Calibri">
    <w:panose1 w:val="020F0502020204030204"/>
    <w:charset w:val="CC"/>
    <w:family w:val="swiss"/>
    <w:pitch w:val="variable"/>
    <w:sig w:usb0="E0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F332D"/>
    <w:rsid w:val="001F332D"/>
    <w:rsid w:val="004A0769"/>
    <w:rsid w:val="006E68E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37A9C382-E158-4D19-AE89-8A82642A86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Arial" w:hAnsi="Arial" w:cs="Arial"/>
        <w:sz w:val="22"/>
        <w:szCs w:val="22"/>
        <w:lang w:val="en-US" w:eastAsia="en-US" w:bidi="ar-SA"/>
      </w:rPr>
    </w:rPrDefault>
    <w:pPrDefault>
      <w:pPr>
        <w:spacing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style>
  <w:style w:type="paragraph" w:styleId="1">
    <w:name w:val="heading 1"/>
    <w:basedOn w:val="a"/>
    <w:next w:val="a"/>
    <w:pPr>
      <w:keepNext/>
      <w:keepLines/>
      <w:spacing w:before="480" w:after="120"/>
      <w:outlineLvl w:val="0"/>
    </w:pPr>
    <w:rPr>
      <w:b/>
      <w:sz w:val="48"/>
      <w:szCs w:val="48"/>
    </w:rPr>
  </w:style>
  <w:style w:type="paragraph" w:styleId="2">
    <w:name w:val="heading 2"/>
    <w:basedOn w:val="a"/>
    <w:next w:val="a"/>
    <w:pPr>
      <w:keepNext/>
      <w:keepLines/>
      <w:spacing w:before="360" w:after="80"/>
      <w:outlineLvl w:val="1"/>
    </w:pPr>
    <w:rPr>
      <w:b/>
      <w:sz w:val="36"/>
      <w:szCs w:val="36"/>
    </w:rPr>
  </w:style>
  <w:style w:type="paragraph" w:styleId="3">
    <w:name w:val="heading 3"/>
    <w:basedOn w:val="a"/>
    <w:next w:val="a"/>
    <w:pPr>
      <w:keepNext/>
      <w:keepLines/>
      <w:spacing w:before="280" w:after="80"/>
      <w:outlineLvl w:val="2"/>
    </w:pPr>
    <w:rPr>
      <w:b/>
      <w:sz w:val="28"/>
      <w:szCs w:val="28"/>
    </w:rPr>
  </w:style>
  <w:style w:type="paragraph" w:styleId="4">
    <w:name w:val="heading 4"/>
    <w:basedOn w:val="a"/>
    <w:next w:val="a"/>
    <w:pPr>
      <w:keepNext/>
      <w:keepLines/>
      <w:spacing w:before="240" w:after="40"/>
      <w:outlineLvl w:val="3"/>
    </w:pPr>
    <w:rPr>
      <w:b/>
      <w:sz w:val="24"/>
      <w:szCs w:val="24"/>
    </w:rPr>
  </w:style>
  <w:style w:type="paragraph" w:styleId="5">
    <w:name w:val="heading 5"/>
    <w:basedOn w:val="a"/>
    <w:next w:val="a"/>
    <w:pPr>
      <w:keepNext/>
      <w:keepLines/>
      <w:spacing w:before="220" w:after="40"/>
      <w:outlineLvl w:val="4"/>
    </w:pPr>
    <w:rPr>
      <w:b/>
    </w:rPr>
  </w:style>
  <w:style w:type="paragraph" w:styleId="6">
    <w:name w:val="heading 6"/>
    <w:basedOn w:val="a"/>
    <w:next w:val="a"/>
    <w:pPr>
      <w:keepNext/>
      <w:keepLines/>
      <w:spacing w:before="200" w:after="40"/>
      <w:outlineLvl w:val="5"/>
    </w:pPr>
    <w:rPr>
      <w:b/>
      <w:sz w:val="20"/>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0" w:type="dxa"/>
        <w:left w:w="0" w:type="dxa"/>
        <w:bottom w:w="0" w:type="dxa"/>
        <w:right w:w="0" w:type="dxa"/>
      </w:tblCellMar>
    </w:tblPr>
  </w:style>
  <w:style w:type="paragraph" w:styleId="a3">
    <w:name w:val="Title"/>
    <w:basedOn w:val="a"/>
    <w:next w:val="a"/>
    <w:pPr>
      <w:keepNext/>
      <w:keepLines/>
      <w:spacing w:before="480" w:after="120"/>
    </w:pPr>
    <w:rPr>
      <w:b/>
      <w:sz w:val="72"/>
      <w:szCs w:val="72"/>
    </w:rPr>
  </w:style>
  <w:style w:type="paragraph" w:styleId="a4">
    <w:name w:val="Subtitle"/>
    <w:basedOn w:val="a"/>
    <w:next w:val="a"/>
    <w:pPr>
      <w:keepNext/>
      <w:keepLines/>
      <w:spacing w:before="360" w:after="80"/>
    </w:pPr>
    <w:rPr>
      <w:rFonts w:ascii="Georgia" w:eastAsia="Georgia" w:hAnsi="Georgia" w:cs="Georgia"/>
      <w:i/>
      <w:color w:val="666666"/>
      <w:sz w:val="48"/>
      <w:szCs w:val="48"/>
    </w:rPr>
  </w:style>
  <w:style w:type="table" w:customStyle="1" w:styleId="a5">
    <w:basedOn w:val="TableNormal"/>
    <w:tblPr>
      <w:tblStyleRowBandSize w:val="1"/>
      <w:tblStyleColBandSize w:val="1"/>
      <w:tblCellMar>
        <w:top w:w="100" w:type="dxa"/>
        <w:left w:w="100" w:type="dxa"/>
        <w:bottom w:w="100" w:type="dxa"/>
        <w:right w:w="10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10</Pages>
  <Words>8100</Words>
  <Characters>46173</Characters>
  <Application>Microsoft Office Word</Application>
  <DocSecurity>0</DocSecurity>
  <Lines>384</Lines>
  <Paragraphs>108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54165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2</cp:revision>
  <dcterms:created xsi:type="dcterms:W3CDTF">2025-06-30T12:06:00Z</dcterms:created>
  <dcterms:modified xsi:type="dcterms:W3CDTF">2025-06-30T12:06:00Z</dcterms:modified>
</cp:coreProperties>
</file>