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07CD" w:rsidRDefault="001B586C">
      <w:pPr>
        <w:widowControl w:val="0"/>
        <w:pBdr>
          <w:top w:val="nil"/>
          <w:left w:val="nil"/>
          <w:bottom w:val="nil"/>
          <w:right w:val="nil"/>
          <w:between w:val="nil"/>
        </w:pBdr>
        <w:spacing w:line="356" w:lineRule="auto"/>
        <w:rPr>
          <w:b/>
          <w:color w:val="FFFFFF"/>
          <w:sz w:val="28"/>
          <w:szCs w:val="28"/>
        </w:rPr>
      </w:pPr>
      <w:bookmarkStart w:id="0" w:name="_GoBack"/>
      <w:bookmarkEnd w:id="0"/>
      <w:r>
        <w:rPr>
          <w:b/>
          <w:color w:val="231F20"/>
          <w:sz w:val="28"/>
          <w:szCs w:val="28"/>
        </w:rPr>
        <w:t xml:space="preserve">КЛІНІЧНІ ДОСЛІДЖЕННЯ </w:t>
      </w:r>
      <w:r>
        <w:rPr>
          <w:b/>
          <w:color w:val="FFFFFF"/>
          <w:sz w:val="28"/>
          <w:szCs w:val="28"/>
        </w:rPr>
        <w:t xml:space="preserve">CLINICIAL RESEARCHES </w:t>
      </w:r>
    </w:p>
    <w:p w:rsidR="00D607CD" w:rsidRDefault="001B586C">
      <w:pPr>
        <w:widowControl w:val="0"/>
        <w:pBdr>
          <w:top w:val="nil"/>
          <w:left w:val="nil"/>
          <w:bottom w:val="nil"/>
          <w:right w:val="nil"/>
          <w:between w:val="nil"/>
        </w:pBdr>
        <w:spacing w:before="1107" w:line="240" w:lineRule="auto"/>
        <w:rPr>
          <w:i/>
          <w:color w:val="231F20"/>
        </w:rPr>
      </w:pPr>
      <w:r>
        <w:rPr>
          <w:i/>
          <w:color w:val="231F20"/>
        </w:rPr>
        <w:lastRenderedPageBreak/>
        <w:t xml:space="preserve">Торбас О.О., Прогонов С.О.  </w:t>
      </w:r>
    </w:p>
    <w:p w:rsidR="00D607CD" w:rsidRDefault="001B586C">
      <w:pPr>
        <w:widowControl w:val="0"/>
        <w:pBdr>
          <w:top w:val="nil"/>
          <w:left w:val="nil"/>
          <w:bottom w:val="nil"/>
          <w:right w:val="nil"/>
          <w:between w:val="nil"/>
        </w:pBdr>
        <w:spacing w:before="1711" w:line="240" w:lineRule="auto"/>
        <w:rPr>
          <w:i/>
          <w:color w:val="231F20"/>
          <w:sz w:val="17"/>
          <w:szCs w:val="17"/>
        </w:rPr>
        <w:sectPr w:rsidR="00D607CD">
          <w:pgSz w:w="11440" w:h="16820"/>
          <w:pgMar w:top="1075" w:right="866" w:bottom="998" w:left="898" w:header="0" w:footer="720" w:gutter="0"/>
          <w:pgNumType w:start="1"/>
          <w:cols w:num="2" w:space="720" w:equalWidth="0">
            <w:col w:w="4840" w:space="0"/>
            <w:col w:w="4840" w:space="0"/>
          </w:cols>
        </w:sectPr>
      </w:pPr>
      <w:r>
        <w:rPr>
          <w:i/>
          <w:color w:val="231F20"/>
          <w:sz w:val="17"/>
          <w:szCs w:val="17"/>
        </w:rPr>
        <w:t xml:space="preserve">DOI: https://doi.org/10.22141/2224-1485.16.1-2.2023.348 </w:t>
      </w:r>
    </w:p>
    <w:p w:rsidR="00D607CD" w:rsidRDefault="001B586C">
      <w:pPr>
        <w:widowControl w:val="0"/>
        <w:pBdr>
          <w:top w:val="nil"/>
          <w:left w:val="nil"/>
          <w:bottom w:val="nil"/>
          <w:right w:val="nil"/>
          <w:between w:val="nil"/>
        </w:pBdr>
        <w:spacing w:before="420" w:line="255" w:lineRule="auto"/>
        <w:ind w:left="16" w:right="631" w:hanging="16"/>
        <w:rPr>
          <w:i/>
          <w:color w:val="231F20"/>
          <w:sz w:val="18"/>
          <w:szCs w:val="18"/>
        </w:rPr>
      </w:pPr>
      <w:r>
        <w:rPr>
          <w:i/>
          <w:color w:val="231F20"/>
          <w:sz w:val="18"/>
          <w:szCs w:val="18"/>
        </w:rPr>
        <w:lastRenderedPageBreak/>
        <w:t xml:space="preserve">ДУ «ННЦ «Інститут кардіології, клінічної та регенеративної медицини імені академіка М.Д. Стражеска»  НАМН України», м. Київ, Україна </w:t>
      </w:r>
    </w:p>
    <w:p w:rsidR="00D607CD" w:rsidRDefault="001B586C">
      <w:pPr>
        <w:widowControl w:val="0"/>
        <w:pBdr>
          <w:top w:val="nil"/>
          <w:left w:val="nil"/>
          <w:bottom w:val="nil"/>
          <w:right w:val="nil"/>
          <w:between w:val="nil"/>
        </w:pBdr>
        <w:spacing w:before="281" w:line="222" w:lineRule="auto"/>
        <w:ind w:left="195" w:right="135"/>
        <w:jc w:val="center"/>
        <w:rPr>
          <w:b/>
          <w:color w:val="231F20"/>
          <w:sz w:val="36"/>
          <w:szCs w:val="36"/>
        </w:rPr>
      </w:pPr>
      <w:r>
        <w:rPr>
          <w:b/>
          <w:color w:val="231F20"/>
          <w:sz w:val="36"/>
          <w:szCs w:val="36"/>
        </w:rPr>
        <w:t xml:space="preserve">Особливості перебігу артеріальної гіпертензії  у пацієнтів під час широкомасштабного вторгнення  в Україні </w:t>
      </w:r>
    </w:p>
    <w:p w:rsidR="00D607CD" w:rsidRDefault="001B586C">
      <w:pPr>
        <w:widowControl w:val="0"/>
        <w:pBdr>
          <w:top w:val="nil"/>
          <w:left w:val="nil"/>
          <w:bottom w:val="nil"/>
          <w:right w:val="nil"/>
          <w:between w:val="nil"/>
        </w:pBdr>
        <w:spacing w:before="440" w:line="240" w:lineRule="auto"/>
        <w:ind w:left="579" w:right="560" w:firstLine="8"/>
        <w:jc w:val="both"/>
        <w:rPr>
          <w:color w:val="231F20"/>
          <w:sz w:val="19"/>
          <w:szCs w:val="19"/>
        </w:rPr>
      </w:pPr>
      <w:r>
        <w:rPr>
          <w:b/>
          <w:color w:val="231F20"/>
          <w:sz w:val="21"/>
          <w:szCs w:val="21"/>
        </w:rPr>
        <w:t xml:space="preserve">Резюме. </w:t>
      </w:r>
      <w:r>
        <w:rPr>
          <w:b/>
          <w:i/>
          <w:color w:val="231F20"/>
          <w:sz w:val="19"/>
          <w:szCs w:val="19"/>
        </w:rPr>
        <w:t xml:space="preserve">Мета: </w:t>
      </w:r>
      <w:r>
        <w:rPr>
          <w:color w:val="231F20"/>
          <w:sz w:val="19"/>
          <w:szCs w:val="19"/>
        </w:rPr>
        <w:t xml:space="preserve">оцінити вплив різних зовнішніх чинників та стресу внаслідок широкомасштабного  військового вторгнення на добовий профіль артеріального тиску (АТ). </w:t>
      </w:r>
      <w:r>
        <w:rPr>
          <w:b/>
          <w:i/>
          <w:color w:val="231F20"/>
          <w:sz w:val="19"/>
          <w:szCs w:val="19"/>
        </w:rPr>
        <w:t xml:space="preserve">Матеріали та методи. </w:t>
      </w:r>
      <w:r>
        <w:rPr>
          <w:color w:val="231F20"/>
          <w:sz w:val="19"/>
          <w:szCs w:val="19"/>
        </w:rPr>
        <w:t>Це  ретроспективний аналіз обстежених пацієнтів, яким було проведено ДМАТ за останні 5 р</w:t>
      </w:r>
      <w:r>
        <w:rPr>
          <w:color w:val="231F20"/>
          <w:sz w:val="19"/>
          <w:szCs w:val="19"/>
        </w:rPr>
        <w:t xml:space="preserve">оків. Ми  розділили умовно період спостереження на декілька часових інтервалів: група «Війна», група «До вій </w:t>
      </w:r>
    </w:p>
    <w:p w:rsidR="00D607CD" w:rsidRDefault="001B586C">
      <w:pPr>
        <w:widowControl w:val="0"/>
        <w:pBdr>
          <w:top w:val="nil"/>
          <w:left w:val="nil"/>
          <w:bottom w:val="nil"/>
          <w:right w:val="nil"/>
          <w:between w:val="nil"/>
        </w:pBdr>
        <w:spacing w:before="6" w:line="242" w:lineRule="auto"/>
        <w:ind w:left="576" w:right="560" w:firstLine="6"/>
        <w:rPr>
          <w:color w:val="231F20"/>
          <w:sz w:val="19"/>
          <w:szCs w:val="19"/>
        </w:rPr>
      </w:pPr>
      <w:r>
        <w:rPr>
          <w:color w:val="231F20"/>
          <w:sz w:val="19"/>
          <w:szCs w:val="19"/>
        </w:rPr>
        <w:t>ни», група «Ковід», група «Спокій», у які методом випадкових чисел було відібрано по 20 пацієнтів.  Усім пацієнтам було проведено ДМАТ за допомого</w:t>
      </w:r>
      <w:r>
        <w:rPr>
          <w:color w:val="231F20"/>
          <w:sz w:val="19"/>
          <w:szCs w:val="19"/>
        </w:rPr>
        <w:t xml:space="preserve">ю приладу Watch BP 03 (Microlife AG, Швейца рія). Було сформовано базу даних та проведено статистичний аналіз результатів за допомогою  програмного пакета IBM SPSS 26.0. </w:t>
      </w:r>
      <w:r>
        <w:rPr>
          <w:b/>
          <w:i/>
          <w:color w:val="231F20"/>
          <w:sz w:val="19"/>
          <w:szCs w:val="19"/>
        </w:rPr>
        <w:t xml:space="preserve">Результати. </w:t>
      </w:r>
      <w:r>
        <w:rPr>
          <w:color w:val="231F20"/>
          <w:sz w:val="19"/>
          <w:szCs w:val="19"/>
        </w:rPr>
        <w:t>Усі групи були порівнянними за віком, гендерним  складом та середньодобови</w:t>
      </w:r>
      <w:r>
        <w:rPr>
          <w:color w:val="231F20"/>
          <w:sz w:val="19"/>
          <w:szCs w:val="19"/>
        </w:rPr>
        <w:t xml:space="preserve">ми параметрами АТ і ЧСС. Пацієнти були середнього віку, чоловіків і  жінок у всіх групах було порівну, порівнянні за результатами середньодобових САТ, ДАТ, ПАТ і  ЧСС. Ми виявили, що у групі «Війна» був достовірно нижчий відсоток зниження САТ і ДАТ уночі  </w:t>
      </w:r>
      <w:r>
        <w:rPr>
          <w:color w:val="231F20"/>
          <w:sz w:val="19"/>
          <w:szCs w:val="19"/>
        </w:rPr>
        <w:t>порівняно із усіма іншими групами (7,6 ± 1,3 % для САТ і 10,2 ± 1,4 % для ДАТ). Стандартне відхи лення САТ і ДАТ було достовірно вищим у групі «До війни» (19,8 ± 1,1 та 14,2 ± 0,7 відповідно) по рівняно із групами «Війна» (16,0 ± 0,9 та 11,7 ± 0,6 відповід</w:t>
      </w:r>
      <w:r>
        <w:rPr>
          <w:color w:val="231F20"/>
          <w:sz w:val="19"/>
          <w:szCs w:val="19"/>
        </w:rPr>
        <w:t xml:space="preserve">но) та «Ковід» (16,2 ± 0,7 та 11,8 ± 0,7  відповідно). Найбільша частота нон-диперів для САТ і ДАТ спостерігалася у групі «Війна» (60 і  45% відповідно). </w:t>
      </w:r>
      <w:r>
        <w:rPr>
          <w:b/>
          <w:i/>
          <w:color w:val="231F20"/>
          <w:sz w:val="19"/>
          <w:szCs w:val="19"/>
        </w:rPr>
        <w:t xml:space="preserve">Висновки. </w:t>
      </w:r>
      <w:r>
        <w:rPr>
          <w:color w:val="231F20"/>
          <w:sz w:val="19"/>
          <w:szCs w:val="19"/>
        </w:rPr>
        <w:t>Під час війни у пацієнтів із АГ зниження САТ і ДАТ вночі виявилося до стовірно нижчим, ніж у</w:t>
      </w:r>
      <w:r>
        <w:rPr>
          <w:color w:val="231F20"/>
          <w:sz w:val="19"/>
          <w:szCs w:val="19"/>
        </w:rPr>
        <w:t xml:space="preserve"> групах «До війни», «Ковід», «Спокій». Також у цій групі відмічалася більша  кількість нон-диперів. </w:t>
      </w:r>
    </w:p>
    <w:p w:rsidR="00D607CD" w:rsidRDefault="001B586C">
      <w:pPr>
        <w:widowControl w:val="0"/>
        <w:pBdr>
          <w:top w:val="nil"/>
          <w:left w:val="nil"/>
          <w:bottom w:val="nil"/>
          <w:right w:val="nil"/>
          <w:between w:val="nil"/>
        </w:pBdr>
        <w:spacing w:line="240" w:lineRule="auto"/>
        <w:ind w:left="588"/>
        <w:rPr>
          <w:i/>
          <w:color w:val="231F20"/>
          <w:sz w:val="19"/>
          <w:szCs w:val="19"/>
        </w:rPr>
        <w:sectPr w:rsidR="00D607CD">
          <w:type w:val="continuous"/>
          <w:pgSz w:w="11440" w:h="16820"/>
          <w:pgMar w:top="1075" w:right="827" w:bottom="998" w:left="866" w:header="0" w:footer="720" w:gutter="0"/>
          <w:cols w:space="720" w:equalWidth="0">
            <w:col w:w="9746" w:space="0"/>
          </w:cols>
        </w:sectPr>
      </w:pPr>
      <w:r>
        <w:rPr>
          <w:b/>
          <w:color w:val="231F20"/>
          <w:sz w:val="21"/>
          <w:szCs w:val="21"/>
        </w:rPr>
        <w:t xml:space="preserve">Ключові слова: </w:t>
      </w:r>
      <w:r>
        <w:rPr>
          <w:i/>
          <w:color w:val="231F20"/>
          <w:sz w:val="19"/>
          <w:szCs w:val="19"/>
        </w:rPr>
        <w:t xml:space="preserve">стрес; артеріальна гіпертензія; добове моніторування артеріального тиску </w:t>
      </w:r>
    </w:p>
    <w:p w:rsidR="00D607CD" w:rsidRDefault="001B586C">
      <w:pPr>
        <w:widowControl w:val="0"/>
        <w:pBdr>
          <w:top w:val="nil"/>
          <w:left w:val="nil"/>
          <w:bottom w:val="nil"/>
          <w:right w:val="nil"/>
          <w:between w:val="nil"/>
        </w:pBdr>
        <w:spacing w:before="329" w:line="240" w:lineRule="auto"/>
        <w:ind w:left="18"/>
        <w:rPr>
          <w:b/>
          <w:color w:val="231F20"/>
          <w:sz w:val="24"/>
          <w:szCs w:val="24"/>
        </w:rPr>
      </w:pPr>
      <w:r>
        <w:rPr>
          <w:b/>
          <w:color w:val="231F20"/>
          <w:sz w:val="24"/>
          <w:szCs w:val="24"/>
        </w:rPr>
        <w:lastRenderedPageBreak/>
        <w:t xml:space="preserve">Вступ </w:t>
      </w:r>
    </w:p>
    <w:p w:rsidR="00D607CD" w:rsidRDefault="001B586C">
      <w:pPr>
        <w:widowControl w:val="0"/>
        <w:pBdr>
          <w:top w:val="nil"/>
          <w:left w:val="nil"/>
          <w:bottom w:val="nil"/>
          <w:right w:val="nil"/>
          <w:between w:val="nil"/>
        </w:pBdr>
        <w:spacing w:before="76" w:line="242" w:lineRule="auto"/>
        <w:ind w:right="127"/>
        <w:jc w:val="right"/>
        <w:rPr>
          <w:color w:val="231F20"/>
          <w:sz w:val="19"/>
          <w:szCs w:val="19"/>
        </w:rPr>
      </w:pPr>
      <w:r>
        <w:rPr>
          <w:color w:val="231F20"/>
          <w:sz w:val="19"/>
          <w:szCs w:val="19"/>
        </w:rPr>
        <w:t>Протягом декількох останніх років Україна стала  свідком багатьох важких випробувань, які вплину ли на хід історії не лише нашої держави, а і усього  світу, — від світової пандемії COVID-19 до почат ку широкомасштабного військового вторгнення на  території</w:t>
      </w:r>
      <w:r>
        <w:rPr>
          <w:color w:val="231F20"/>
          <w:sz w:val="19"/>
          <w:szCs w:val="19"/>
        </w:rPr>
        <w:t xml:space="preserve"> нашої країни. Звісно, такі події не могли  не вплинути на стан здоров’я населення. І якщо те,  яким чином на нас вплинули пандемія і локдаун, ми  вже зараз можемо попередньо оцінити, то наслід ки від такого тяжкого стресу і травми ми ще багато  років буде</w:t>
      </w:r>
      <w:r>
        <w:rPr>
          <w:color w:val="231F20"/>
          <w:sz w:val="19"/>
          <w:szCs w:val="19"/>
        </w:rPr>
        <w:t xml:space="preserve">мо спостерігати у наших пацієнтів. І най важче, напевне, у цій ситуації буде лікарям-кардіо логам, адже, за різними оцінками експертів, саме  </w:t>
      </w:r>
    </w:p>
    <w:p w:rsidR="00D607CD" w:rsidRDefault="001B586C">
      <w:pPr>
        <w:widowControl w:val="0"/>
        <w:pBdr>
          <w:top w:val="nil"/>
          <w:left w:val="nil"/>
          <w:bottom w:val="nil"/>
          <w:right w:val="nil"/>
          <w:between w:val="nil"/>
        </w:pBdr>
        <w:spacing w:before="279" w:line="199" w:lineRule="auto"/>
        <w:ind w:left="7" w:right="682"/>
        <w:rPr>
          <w:color w:val="231F20"/>
          <w:sz w:val="16"/>
          <w:szCs w:val="16"/>
        </w:rPr>
      </w:pPr>
      <w:r>
        <w:rPr>
          <w:color w:val="231F20"/>
          <w:sz w:val="16"/>
          <w:szCs w:val="16"/>
        </w:rPr>
        <w:t xml:space="preserve">© «Артеріальна гіпертензія» / «Hypertension» (« »), 2023 © Видавець Заславський О.Ю. / Publisher Zaslavsky </w:t>
      </w:r>
      <w:r>
        <w:rPr>
          <w:color w:val="231F20"/>
          <w:sz w:val="16"/>
          <w:szCs w:val="16"/>
        </w:rPr>
        <w:lastRenderedPageBreak/>
        <w:t xml:space="preserve">О.Yu., 2023 </w:t>
      </w:r>
    </w:p>
    <w:p w:rsidR="00D607CD" w:rsidRDefault="001B586C">
      <w:pPr>
        <w:widowControl w:val="0"/>
        <w:pBdr>
          <w:top w:val="nil"/>
          <w:left w:val="nil"/>
          <w:bottom w:val="nil"/>
          <w:right w:val="nil"/>
          <w:between w:val="nil"/>
        </w:pBdr>
        <w:spacing w:before="126" w:line="242" w:lineRule="auto"/>
        <w:ind w:left="115" w:right="18" w:firstLine="2"/>
        <w:rPr>
          <w:color w:val="231F20"/>
          <w:sz w:val="19"/>
          <w:szCs w:val="19"/>
        </w:rPr>
      </w:pPr>
      <w:r>
        <w:rPr>
          <w:color w:val="231F20"/>
          <w:sz w:val="19"/>
          <w:szCs w:val="19"/>
        </w:rPr>
        <w:t>серцево-судинна патологія залишається однією з  провідних причин смертності цивільного населен ня. Окрім того, найважливішим чинником ри</w:t>
      </w:r>
      <w:r>
        <w:rPr>
          <w:color w:val="231F20"/>
          <w:sz w:val="19"/>
          <w:szCs w:val="19"/>
        </w:rPr>
        <w:t xml:space="preserve">зику  вважають артеріальну гіпертензією (АГ), лікування  </w:t>
      </w:r>
    </w:p>
    <w:p w:rsidR="00D607CD" w:rsidRDefault="001B586C">
      <w:pPr>
        <w:widowControl w:val="0"/>
        <w:pBdr>
          <w:top w:val="nil"/>
          <w:left w:val="nil"/>
          <w:bottom w:val="nil"/>
          <w:right w:val="nil"/>
          <w:between w:val="nil"/>
        </w:pBdr>
        <w:spacing w:before="6" w:line="242" w:lineRule="auto"/>
        <w:ind w:left="108" w:right="18" w:firstLine="1"/>
        <w:rPr>
          <w:color w:val="231F20"/>
          <w:sz w:val="19"/>
          <w:szCs w:val="19"/>
        </w:rPr>
        <w:sectPr w:rsidR="00D607CD">
          <w:type w:val="continuous"/>
          <w:pgSz w:w="11440" w:h="16820"/>
          <w:pgMar w:top="1075" w:right="822" w:bottom="998" w:left="876" w:header="0" w:footer="720" w:gutter="0"/>
          <w:cols w:num="2" w:space="720" w:equalWidth="0">
            <w:col w:w="4880" w:space="0"/>
            <w:col w:w="4880" w:space="0"/>
          </w:cols>
        </w:sectPr>
      </w:pPr>
      <w:r>
        <w:rPr>
          <w:color w:val="231F20"/>
          <w:sz w:val="19"/>
          <w:szCs w:val="19"/>
        </w:rPr>
        <w:t>якої значно ускладнилося в сучасних умовах. АГ залишається однією з найпоширеніших неін фекційних патологій у всьому світі [9]. Саме бороть бі із АГ останнім часом прид</w:t>
      </w:r>
      <w:r>
        <w:rPr>
          <w:color w:val="231F20"/>
          <w:sz w:val="19"/>
          <w:szCs w:val="19"/>
        </w:rPr>
        <w:t>іляють найбільшу увагу  не лише науковці, але і представники громади за галом, адже лише спільними зусиллями можна по ліпшити контроль артеріального тиску (АТ). І саме  контроль АТ є ключовим компонентом не тільки  первинної, але й вторинної профілактики с</w:t>
      </w:r>
      <w:r>
        <w:rPr>
          <w:color w:val="231F20"/>
          <w:sz w:val="19"/>
          <w:szCs w:val="19"/>
        </w:rPr>
        <w:t xml:space="preserve">ерцево судинних подій у загальній популяції. Тому в наш </w:t>
      </w:r>
    </w:p>
    <w:p w:rsidR="00D607CD" w:rsidRDefault="001B586C">
      <w:pPr>
        <w:widowControl w:val="0"/>
        <w:pBdr>
          <w:top w:val="nil"/>
          <w:left w:val="nil"/>
          <w:bottom w:val="nil"/>
          <w:right w:val="nil"/>
          <w:between w:val="nil"/>
        </w:pBdr>
        <w:spacing w:before="716" w:line="199" w:lineRule="auto"/>
        <w:ind w:left="14" w:right="43"/>
        <w:rPr>
          <w:color w:val="231F20"/>
          <w:sz w:val="16"/>
          <w:szCs w:val="16"/>
        </w:rPr>
      </w:pPr>
      <w:r>
        <w:rPr>
          <w:color w:val="231F20"/>
          <w:sz w:val="16"/>
          <w:szCs w:val="16"/>
        </w:rPr>
        <w:lastRenderedPageBreak/>
        <w:t>Для кореспонденції: Торбас О.О., кандидат медичних наук, ДУ «ННЦ «Інститут кардіології, клінічної та регенеративної медицини імені академіка М.Д. Стражеска» НАМН України», вул. Свя тослава Хороброго, 5, м. Київ, 02000, Україна; e-mail: olenatorbas@gmail.co</w:t>
      </w:r>
      <w:r>
        <w:rPr>
          <w:color w:val="231F20"/>
          <w:sz w:val="16"/>
          <w:szCs w:val="16"/>
        </w:rPr>
        <w:t xml:space="preserve">m </w:t>
      </w:r>
    </w:p>
    <w:p w:rsidR="00D607CD" w:rsidRDefault="001B586C">
      <w:pPr>
        <w:widowControl w:val="0"/>
        <w:pBdr>
          <w:top w:val="nil"/>
          <w:left w:val="nil"/>
          <w:bottom w:val="nil"/>
          <w:right w:val="nil"/>
          <w:between w:val="nil"/>
        </w:pBdr>
        <w:spacing w:line="199" w:lineRule="auto"/>
        <w:ind w:left="15" w:right="12" w:firstLine="6"/>
        <w:rPr>
          <w:color w:val="231F20"/>
          <w:sz w:val="16"/>
          <w:szCs w:val="16"/>
        </w:rPr>
      </w:pPr>
      <w:r>
        <w:rPr>
          <w:color w:val="231F20"/>
          <w:sz w:val="16"/>
          <w:szCs w:val="16"/>
        </w:rPr>
        <w:lastRenderedPageBreak/>
        <w:t>For correspondence: Olena Torbas, PhD, State Institution "National Scientific Center "Institute of Cardiology, clinical and regeneration medicine named after Academician MD Strazheska” of the National  Academy of Medical Sciences of Ukraine”, Sviatoslav</w:t>
      </w:r>
      <w:r>
        <w:rPr>
          <w:color w:val="231F20"/>
          <w:sz w:val="16"/>
          <w:szCs w:val="16"/>
        </w:rPr>
        <w:t xml:space="preserve">a Khorobroho st., 5, Kyiv, 02000, Ukraine; e-mail: olenatorbas@gmail.com </w:t>
      </w:r>
    </w:p>
    <w:p w:rsidR="00D607CD" w:rsidRDefault="001B586C">
      <w:pPr>
        <w:widowControl w:val="0"/>
        <w:pBdr>
          <w:top w:val="nil"/>
          <w:left w:val="nil"/>
          <w:bottom w:val="nil"/>
          <w:right w:val="nil"/>
          <w:between w:val="nil"/>
        </w:pBdr>
        <w:spacing w:before="383" w:line="240" w:lineRule="auto"/>
        <w:jc w:val="center"/>
        <w:rPr>
          <w:b/>
          <w:color w:val="231F20"/>
          <w:sz w:val="20"/>
          <w:szCs w:val="20"/>
        </w:rPr>
      </w:pPr>
      <w:r>
        <w:rPr>
          <w:color w:val="231F20"/>
          <w:sz w:val="18"/>
          <w:szCs w:val="18"/>
        </w:rPr>
        <w:t xml:space="preserve">Том 16, N¹ 1–2, 2023 </w:t>
      </w:r>
      <w:r>
        <w:rPr>
          <w:color w:val="231F20"/>
          <w:sz w:val="19"/>
          <w:szCs w:val="19"/>
        </w:rPr>
        <w:t xml:space="preserve">www.mif-ua.com, http://hypertension.zaslavsky.com.ua </w:t>
      </w:r>
      <w:r>
        <w:rPr>
          <w:b/>
          <w:color w:val="231F20"/>
          <w:sz w:val="20"/>
          <w:szCs w:val="20"/>
        </w:rPr>
        <w:t xml:space="preserve">43 </w:t>
      </w:r>
    </w:p>
    <w:p w:rsidR="00D607CD" w:rsidRDefault="001B586C">
      <w:pPr>
        <w:widowControl w:val="0"/>
        <w:pBdr>
          <w:top w:val="nil"/>
          <w:left w:val="nil"/>
          <w:bottom w:val="nil"/>
          <w:right w:val="nil"/>
          <w:between w:val="nil"/>
        </w:pBdr>
        <w:spacing w:line="240" w:lineRule="auto"/>
        <w:ind w:left="1831"/>
        <w:rPr>
          <w:b/>
          <w:color w:val="FFFFFF"/>
          <w:sz w:val="20"/>
          <w:szCs w:val="20"/>
        </w:rPr>
        <w:sectPr w:rsidR="00D607CD">
          <w:type w:val="continuous"/>
          <w:pgSz w:w="11440" w:h="16820"/>
          <w:pgMar w:top="1075" w:right="827" w:bottom="998" w:left="866" w:header="0" w:footer="720" w:gutter="0"/>
          <w:cols w:space="720" w:equalWidth="0">
            <w:col w:w="9746" w:space="0"/>
          </w:cols>
        </w:sectPr>
      </w:pPr>
      <w:r>
        <w:rPr>
          <w:b/>
          <w:color w:val="FFFFFF"/>
          <w:sz w:val="20"/>
          <w:szCs w:val="20"/>
        </w:rPr>
        <w:t xml:space="preserve">КЛІНІЧНІ ДОСЛІДЖЕННЯ / CLINICIAL RESEARCHES </w:t>
      </w:r>
    </w:p>
    <w:p w:rsidR="00D607CD" w:rsidRDefault="001B586C">
      <w:pPr>
        <w:widowControl w:val="0"/>
        <w:pBdr>
          <w:top w:val="nil"/>
          <w:left w:val="nil"/>
          <w:bottom w:val="nil"/>
          <w:right w:val="nil"/>
          <w:between w:val="nil"/>
        </w:pBdr>
        <w:spacing w:before="329" w:line="242" w:lineRule="auto"/>
        <w:ind w:left="7" w:right="126" w:hanging="3"/>
        <w:rPr>
          <w:color w:val="231F20"/>
          <w:sz w:val="19"/>
          <w:szCs w:val="19"/>
        </w:rPr>
      </w:pPr>
      <w:r>
        <w:rPr>
          <w:color w:val="231F20"/>
          <w:sz w:val="19"/>
          <w:szCs w:val="19"/>
        </w:rPr>
        <w:lastRenderedPageBreak/>
        <w:t xml:space="preserve">час проблема АГ набуває найбільшого соціального  значення, адже очевидно, що внаслідок широко масштабного військового вторгнення та стресу, ви кликаного різними чинниками, зросте навантажен ня на систему охорони здоров’я, що в першу чергу  </w:t>
      </w:r>
    </w:p>
    <w:p w:rsidR="00D607CD" w:rsidRDefault="001B586C">
      <w:pPr>
        <w:widowControl w:val="0"/>
        <w:pBdr>
          <w:top w:val="nil"/>
          <w:left w:val="nil"/>
          <w:bottom w:val="nil"/>
          <w:right w:val="nil"/>
          <w:between w:val="nil"/>
        </w:pBdr>
        <w:spacing w:before="6" w:line="242" w:lineRule="auto"/>
        <w:ind w:right="126" w:firstLine="10"/>
        <w:rPr>
          <w:color w:val="231F20"/>
          <w:sz w:val="19"/>
          <w:szCs w:val="19"/>
        </w:rPr>
      </w:pPr>
      <w:r>
        <w:rPr>
          <w:color w:val="231F20"/>
          <w:sz w:val="19"/>
          <w:szCs w:val="19"/>
        </w:rPr>
        <w:t>стосуватиметься</w:t>
      </w:r>
      <w:r>
        <w:rPr>
          <w:color w:val="231F20"/>
          <w:sz w:val="19"/>
          <w:szCs w:val="19"/>
        </w:rPr>
        <w:t xml:space="preserve"> кардіологічної служби. У нормальних умовах за фізіологічну регуляцію  АТ відповідає нейрогуморальна регуляція, яка, у  свою чергу, залежить від нормального циркадно го ритму [10]. Однак в умовах хронічного стресу та  психоемоційного навантаження відбуваєт</w:t>
      </w:r>
      <w:r>
        <w:rPr>
          <w:color w:val="231F20"/>
          <w:sz w:val="19"/>
          <w:szCs w:val="19"/>
        </w:rPr>
        <w:t xml:space="preserve">ься гли боке порушення усіх фізіологічних процесів в орга нізмі, що загалом призводить до порушення гомео стазу [8]. У здорових осіб такі хронічні стани можуть  призвести до виникнення різних серцево-судинних  захворювань у майбутньому, у пацієнтів з АГ — </w:t>
      </w:r>
      <w:r>
        <w:rPr>
          <w:color w:val="231F20"/>
          <w:sz w:val="19"/>
          <w:szCs w:val="19"/>
        </w:rPr>
        <w:t xml:space="preserve">до  виникнення тяжких серцево-судинних ускладнень.  Розкриття механізмів цих порушень наблизить нас  до найбільш оптимальної стратегії первинної та вто ринної профілактики кардіоваскулярних усклад нень. </w:t>
      </w:r>
    </w:p>
    <w:p w:rsidR="00D607CD" w:rsidRDefault="001B586C">
      <w:pPr>
        <w:widowControl w:val="0"/>
        <w:pBdr>
          <w:top w:val="nil"/>
          <w:left w:val="nil"/>
          <w:bottom w:val="nil"/>
          <w:right w:val="nil"/>
          <w:between w:val="nil"/>
        </w:pBdr>
        <w:spacing w:before="6" w:line="242" w:lineRule="auto"/>
        <w:ind w:right="126" w:firstLine="296"/>
        <w:rPr>
          <w:color w:val="231F20"/>
          <w:sz w:val="19"/>
          <w:szCs w:val="19"/>
        </w:rPr>
      </w:pPr>
      <w:r>
        <w:rPr>
          <w:color w:val="231F20"/>
          <w:sz w:val="19"/>
          <w:szCs w:val="19"/>
        </w:rPr>
        <w:t>На практиці добове моніторування АТ (ДМАТ)  дає нам найбільш широке уявлення щодо профілю  АТ та його регуляції протягом доби у кожного окре мого пацієнта. Результати добового моніторування  дозволяють оцінити середні показники рівня АТ  протягом доби, йог</w:t>
      </w:r>
      <w:r>
        <w:rPr>
          <w:color w:val="231F20"/>
          <w:sz w:val="19"/>
          <w:szCs w:val="19"/>
        </w:rPr>
        <w:t xml:space="preserve">о коливання від мінімального  до максимального, навантаження гіпертензією або  гіпотензією, вранішній підйом АТ, його швидкість  і величину, а також добовий індекс. Кожен із ви щенаведених показників має надзвичайно важли ве значення, оскільки асоціюється </w:t>
      </w:r>
      <w:r>
        <w:rPr>
          <w:color w:val="231F20"/>
          <w:sz w:val="19"/>
          <w:szCs w:val="19"/>
        </w:rPr>
        <w:t xml:space="preserve">з підвищенням  ризику певних кардіоваскулярних подій. Очевид но, для того, щоб оцінити, як саме стресові ситуації  впливають на контроль АТ, ДМАТ є найбільш до цільним інструментом. </w:t>
      </w:r>
    </w:p>
    <w:p w:rsidR="00D607CD" w:rsidRDefault="001B586C">
      <w:pPr>
        <w:widowControl w:val="0"/>
        <w:pBdr>
          <w:top w:val="nil"/>
          <w:left w:val="nil"/>
          <w:bottom w:val="nil"/>
          <w:right w:val="nil"/>
          <w:between w:val="nil"/>
        </w:pBdr>
        <w:spacing w:before="6" w:line="242" w:lineRule="auto"/>
        <w:ind w:left="1" w:right="126" w:firstLine="295"/>
        <w:rPr>
          <w:color w:val="231F20"/>
          <w:sz w:val="19"/>
          <w:szCs w:val="19"/>
        </w:rPr>
      </w:pPr>
      <w:r>
        <w:rPr>
          <w:color w:val="231F20"/>
          <w:sz w:val="19"/>
          <w:szCs w:val="19"/>
        </w:rPr>
        <w:t>Відділ вторинних і легеневих гіпертензій ДУ  «ННЦ «Інститут кардіології і</w:t>
      </w:r>
      <w:r>
        <w:rPr>
          <w:color w:val="231F20"/>
          <w:sz w:val="19"/>
          <w:szCs w:val="19"/>
        </w:rPr>
        <w:t>м. акад. М.Д. Стражес ка» не припиняв свою роботу і продовжував нада вати медичну допомогу населенню України і під час  пандемії коронавірусної хвороби, і з моменту широ комасштабного вторгнення, і під час часткової об логи Києва та часткової окупації Київ</w:t>
      </w:r>
      <w:r>
        <w:rPr>
          <w:color w:val="231F20"/>
          <w:sz w:val="19"/>
          <w:szCs w:val="19"/>
        </w:rPr>
        <w:t>ської області.  Протягом цього часу до установи зверталися різні  категорії пацієнтів, а тому ми накопичили чимало  унікальних даних, які дозволили нам провести де тальну оцінку впливу стресових чинників на про філь АТ у пацієнтів, які були направлені до н</w:t>
      </w:r>
      <w:r>
        <w:rPr>
          <w:color w:val="231F20"/>
          <w:sz w:val="19"/>
          <w:szCs w:val="19"/>
        </w:rPr>
        <w:t xml:space="preserve">ас на  діагностику. </w:t>
      </w:r>
    </w:p>
    <w:p w:rsidR="00D607CD" w:rsidRDefault="001B586C">
      <w:pPr>
        <w:widowControl w:val="0"/>
        <w:pBdr>
          <w:top w:val="nil"/>
          <w:left w:val="nil"/>
          <w:bottom w:val="nil"/>
          <w:right w:val="nil"/>
          <w:between w:val="nil"/>
        </w:pBdr>
        <w:spacing w:before="6" w:line="242" w:lineRule="auto"/>
        <w:ind w:left="7" w:right="183" w:firstLine="287"/>
        <w:rPr>
          <w:color w:val="231F20"/>
          <w:sz w:val="19"/>
          <w:szCs w:val="19"/>
        </w:rPr>
      </w:pPr>
      <w:r>
        <w:rPr>
          <w:b/>
          <w:color w:val="231F20"/>
          <w:sz w:val="19"/>
          <w:szCs w:val="19"/>
        </w:rPr>
        <w:t xml:space="preserve">Метою </w:t>
      </w:r>
      <w:r>
        <w:rPr>
          <w:color w:val="231F20"/>
          <w:sz w:val="19"/>
          <w:szCs w:val="19"/>
        </w:rPr>
        <w:t xml:space="preserve">цієї роботи було оцінити вплив різних зо внішніх чинників та стресу на добовий профіль АТ. </w:t>
      </w:r>
    </w:p>
    <w:p w:rsidR="00D607CD" w:rsidRDefault="001B586C">
      <w:pPr>
        <w:widowControl w:val="0"/>
        <w:pBdr>
          <w:top w:val="nil"/>
          <w:left w:val="nil"/>
          <w:bottom w:val="nil"/>
          <w:right w:val="nil"/>
          <w:between w:val="nil"/>
        </w:pBdr>
        <w:spacing w:before="155" w:line="240" w:lineRule="auto"/>
        <w:ind w:left="20"/>
        <w:rPr>
          <w:b/>
          <w:color w:val="231F20"/>
          <w:sz w:val="24"/>
          <w:szCs w:val="24"/>
        </w:rPr>
      </w:pPr>
      <w:r>
        <w:rPr>
          <w:b/>
          <w:color w:val="231F20"/>
          <w:sz w:val="24"/>
          <w:szCs w:val="24"/>
        </w:rPr>
        <w:t xml:space="preserve">Матеріали та методи </w:t>
      </w:r>
    </w:p>
    <w:p w:rsidR="00D607CD" w:rsidRDefault="001B586C">
      <w:pPr>
        <w:widowControl w:val="0"/>
        <w:pBdr>
          <w:top w:val="nil"/>
          <w:left w:val="nil"/>
          <w:bottom w:val="nil"/>
          <w:right w:val="nil"/>
          <w:between w:val="nil"/>
        </w:pBdr>
        <w:spacing w:before="31" w:line="242" w:lineRule="auto"/>
        <w:ind w:left="1" w:right="126"/>
        <w:jc w:val="right"/>
        <w:rPr>
          <w:color w:val="231F20"/>
          <w:sz w:val="19"/>
          <w:szCs w:val="19"/>
        </w:rPr>
      </w:pPr>
      <w:r>
        <w:rPr>
          <w:color w:val="231F20"/>
          <w:sz w:val="19"/>
          <w:szCs w:val="19"/>
        </w:rPr>
        <w:t>Для досягнення поставленої мети ми вирішили  провести ретроспективний аналіз обстежених па цієнтів, яким було проведено ДМАТ у відділі вто ринних і легеневих гіпертензій Інституту кардіо логії за останні 5 років з приводу того, що в них  виявилося підвищен</w:t>
      </w:r>
      <w:r>
        <w:rPr>
          <w:color w:val="231F20"/>
          <w:sz w:val="19"/>
          <w:szCs w:val="19"/>
        </w:rPr>
        <w:t xml:space="preserve">ня АТ. У це дослідження ми  </w:t>
      </w:r>
    </w:p>
    <w:p w:rsidR="00D607CD" w:rsidRDefault="001B586C">
      <w:pPr>
        <w:widowControl w:val="0"/>
        <w:pBdr>
          <w:top w:val="nil"/>
          <w:left w:val="nil"/>
          <w:bottom w:val="nil"/>
          <w:right w:val="nil"/>
          <w:between w:val="nil"/>
        </w:pBdr>
        <w:spacing w:line="242" w:lineRule="auto"/>
        <w:ind w:left="112" w:right="17" w:firstLine="3"/>
        <w:rPr>
          <w:color w:val="231F20"/>
          <w:sz w:val="19"/>
          <w:szCs w:val="19"/>
        </w:rPr>
      </w:pPr>
      <w:r>
        <w:rPr>
          <w:color w:val="231F20"/>
          <w:sz w:val="19"/>
          <w:szCs w:val="19"/>
        </w:rPr>
        <w:lastRenderedPageBreak/>
        <w:t>відбирали пацієнтів, яким було встановлено діа гноз есенціальної артеріальної гіпертензії 1–2-го  ступеня. Пацієнти були на обстеженні амбулатор но, стаціонарного лікування з приводу артеріаль ної гіпертензії не проводилося. Критеріями не включення у цей а</w:t>
      </w:r>
      <w:r>
        <w:rPr>
          <w:color w:val="231F20"/>
          <w:sz w:val="19"/>
          <w:szCs w:val="19"/>
        </w:rPr>
        <w:t xml:space="preserve">наліз були 3-й ступінь та 3-тя  стадія артеріальної гіпертензії, вторинна артеріаль на гіпертензія, резистентні та рефрактерні до ліку вання форми артеріальної гіпертензії, наявність  клінічно значимої супутньої патології (стенозую чий атеросклероз сонних </w:t>
      </w:r>
      <w:r>
        <w:rPr>
          <w:color w:val="231F20"/>
          <w:sz w:val="19"/>
          <w:szCs w:val="19"/>
        </w:rPr>
        <w:t xml:space="preserve">артерій, цукровий діабет,  хронічна хвороба нирок, ішемічна хвороба серця,  ТІА/інсульт в анамнезі, будь-яка гостра патологія  на момент обстеження).  </w:t>
      </w:r>
    </w:p>
    <w:p w:rsidR="00D607CD" w:rsidRDefault="001B586C">
      <w:pPr>
        <w:widowControl w:val="0"/>
        <w:pBdr>
          <w:top w:val="nil"/>
          <w:left w:val="nil"/>
          <w:bottom w:val="nil"/>
          <w:right w:val="nil"/>
          <w:between w:val="nil"/>
        </w:pBdr>
        <w:spacing w:before="6" w:line="242" w:lineRule="auto"/>
        <w:ind w:left="110" w:right="17" w:firstLine="295"/>
        <w:jc w:val="both"/>
        <w:rPr>
          <w:color w:val="231F20"/>
          <w:sz w:val="19"/>
          <w:szCs w:val="19"/>
        </w:rPr>
      </w:pPr>
      <w:r>
        <w:rPr>
          <w:color w:val="231F20"/>
          <w:sz w:val="19"/>
          <w:szCs w:val="19"/>
        </w:rPr>
        <w:t xml:space="preserve">Ми розділили умовно період спостереження на  декілька часових інтервалів: спостереження під час  війни (група «Війна», період з 24 грудня 2022 р. до  моменту відбору даних 1 липня 2022 р.), спостере </w:t>
      </w:r>
    </w:p>
    <w:p w:rsidR="00D607CD" w:rsidRDefault="001B586C">
      <w:pPr>
        <w:widowControl w:val="0"/>
        <w:pBdr>
          <w:top w:val="nil"/>
          <w:left w:val="nil"/>
          <w:bottom w:val="nil"/>
          <w:right w:val="nil"/>
          <w:between w:val="nil"/>
        </w:pBdr>
        <w:spacing w:before="6" w:line="242" w:lineRule="auto"/>
        <w:ind w:left="110" w:right="17"/>
        <w:rPr>
          <w:color w:val="231F20"/>
          <w:sz w:val="19"/>
          <w:szCs w:val="19"/>
        </w:rPr>
      </w:pPr>
      <w:r>
        <w:rPr>
          <w:color w:val="231F20"/>
          <w:sz w:val="19"/>
          <w:szCs w:val="19"/>
        </w:rPr>
        <w:t>ження в період стресу та перенапруження внаслі док анонс</w:t>
      </w:r>
      <w:r>
        <w:rPr>
          <w:color w:val="231F20"/>
          <w:sz w:val="19"/>
          <w:szCs w:val="19"/>
        </w:rPr>
        <w:t>ованих бойових дій (група «До війни», від  моменту попередження від різних організацій про  можливий початок широкомасштабного військово го вторгнення 3 грудня 2022 до початку бойових дій  24 лютого 2022 року), спостереження в період пси хоемоційного перен</w:t>
      </w:r>
      <w:r>
        <w:rPr>
          <w:color w:val="231F20"/>
          <w:sz w:val="19"/>
          <w:szCs w:val="19"/>
        </w:rPr>
        <w:t>апруження внаслідок пандемії  коронавірусної інфекції та локдауну (група «Ковід»,  з березня 2020 року по жовтень 2021 року) та група  контролю у відносно спокійний період (група «Спо кій», з січня по грудень 2018 року). Відповідно до  цих часових інтервал</w:t>
      </w:r>
      <w:r>
        <w:rPr>
          <w:color w:val="231F20"/>
          <w:sz w:val="19"/>
          <w:szCs w:val="19"/>
        </w:rPr>
        <w:t xml:space="preserve">ів із загальної бази даних обсте жених методом випадкових чисел було відібрано по  20 пацієнтів у групи порівняння. Детальна клініч на характеристика включених пацієнтів наведена у  табл. 1. </w:t>
      </w:r>
    </w:p>
    <w:p w:rsidR="00D607CD" w:rsidRDefault="001B586C">
      <w:pPr>
        <w:widowControl w:val="0"/>
        <w:pBdr>
          <w:top w:val="nil"/>
          <w:left w:val="nil"/>
          <w:bottom w:val="nil"/>
          <w:right w:val="nil"/>
          <w:between w:val="nil"/>
        </w:pBdr>
        <w:spacing w:before="6" w:line="242" w:lineRule="auto"/>
        <w:ind w:left="116" w:right="17" w:firstLine="277"/>
        <w:rPr>
          <w:color w:val="231F20"/>
          <w:sz w:val="19"/>
          <w:szCs w:val="19"/>
        </w:rPr>
      </w:pPr>
      <w:r>
        <w:rPr>
          <w:color w:val="231F20"/>
          <w:sz w:val="19"/>
          <w:szCs w:val="19"/>
        </w:rPr>
        <w:t>Як видно з табл. 1, достовірних відмінностей ні  за стажем АГ, н</w:t>
      </w:r>
      <w:r>
        <w:rPr>
          <w:color w:val="231F20"/>
          <w:sz w:val="19"/>
          <w:szCs w:val="19"/>
        </w:rPr>
        <w:t xml:space="preserve">і за структурою антигіпертензив ної терапії нами виявлено не було. Отже, можна  сказати, що порівнювати групи між собою було  коректно.  </w:t>
      </w:r>
    </w:p>
    <w:p w:rsidR="00D607CD" w:rsidRDefault="001B586C">
      <w:pPr>
        <w:widowControl w:val="0"/>
        <w:pBdr>
          <w:top w:val="nil"/>
          <w:left w:val="nil"/>
          <w:bottom w:val="nil"/>
          <w:right w:val="nil"/>
          <w:between w:val="nil"/>
        </w:pBdr>
        <w:spacing w:before="6" w:line="242" w:lineRule="auto"/>
        <w:ind w:left="110" w:right="17"/>
        <w:jc w:val="right"/>
        <w:rPr>
          <w:color w:val="231F20"/>
          <w:sz w:val="19"/>
          <w:szCs w:val="19"/>
        </w:rPr>
        <w:sectPr w:rsidR="00D607CD">
          <w:type w:val="continuous"/>
          <w:pgSz w:w="11440" w:h="16820"/>
          <w:pgMar w:top="1075" w:right="822" w:bottom="998" w:left="874" w:header="0" w:footer="720" w:gutter="0"/>
          <w:cols w:num="2" w:space="720" w:equalWidth="0">
            <w:col w:w="4880" w:space="0"/>
            <w:col w:w="4880" w:space="0"/>
          </w:cols>
        </w:sectPr>
      </w:pPr>
      <w:r>
        <w:rPr>
          <w:color w:val="231F20"/>
          <w:sz w:val="19"/>
          <w:szCs w:val="19"/>
        </w:rPr>
        <w:t>Усім пацієнтам було проведено ДМАТ за допо могою приладу Watch BP 03 (Microlife AG, Швей царія), сертифікованого та рекомендованого до  використання в клінічній практиці (http://www. dableducational.org/manufacturers/microlife.html).  Результати добового м</w:t>
      </w:r>
      <w:r>
        <w:rPr>
          <w:color w:val="231F20"/>
          <w:sz w:val="19"/>
          <w:szCs w:val="19"/>
        </w:rPr>
        <w:t>оніторування кожного паці єнта було отримано у форматі таблиці Excel, у яку  було додано вручну формули для розрахунку до бових індексів та виконано оцінку результатів із  визначенням абсолютних, середньодобових, мак симальних і мінімальних показників АТ і</w:t>
      </w:r>
      <w:r>
        <w:rPr>
          <w:color w:val="231F20"/>
          <w:sz w:val="19"/>
          <w:szCs w:val="19"/>
        </w:rPr>
        <w:t xml:space="preserve"> частоти  серцевих скорочень (ЧСС), а також варіабельності  цих показників протягом доби за допомогою стан дартного відхилення (СВ). Ми також провели оцін ку навантаження гіпертензією та гіпотензією, роз рахунок показників вранішньої динаміки АТ, усі  пара</w:t>
      </w:r>
      <w:r>
        <w:rPr>
          <w:color w:val="231F20"/>
          <w:sz w:val="19"/>
          <w:szCs w:val="19"/>
        </w:rPr>
        <w:t>метри для обчислення було обрано із рекомен дацій [9]. Варіабельність АТ та ЧСС протягом доби  оцінювали за допомогою показника стандартного  відхилення від середньої величини, а також серед-</w:t>
      </w:r>
    </w:p>
    <w:p w:rsidR="00D607CD" w:rsidRDefault="001B586C">
      <w:pPr>
        <w:widowControl w:val="0"/>
        <w:pBdr>
          <w:top w:val="nil"/>
          <w:left w:val="nil"/>
          <w:bottom w:val="nil"/>
          <w:right w:val="nil"/>
          <w:between w:val="nil"/>
        </w:pBdr>
        <w:spacing w:before="420" w:line="240" w:lineRule="auto"/>
        <w:jc w:val="center"/>
        <w:rPr>
          <w:color w:val="231F20"/>
          <w:sz w:val="18"/>
          <w:szCs w:val="18"/>
        </w:rPr>
      </w:pPr>
      <w:r>
        <w:rPr>
          <w:b/>
          <w:color w:val="231F20"/>
          <w:sz w:val="20"/>
          <w:szCs w:val="20"/>
        </w:rPr>
        <w:lastRenderedPageBreak/>
        <w:t xml:space="preserve">44 </w:t>
      </w:r>
      <w:r>
        <w:rPr>
          <w:color w:val="231F20"/>
          <w:sz w:val="19"/>
          <w:szCs w:val="19"/>
        </w:rPr>
        <w:t xml:space="preserve">Àðòåðiàëüíà ãiïåðòåíçiÿ, </w:t>
      </w:r>
      <w:r>
        <w:rPr>
          <w:color w:val="231F20"/>
          <w:sz w:val="15"/>
          <w:szCs w:val="15"/>
        </w:rPr>
        <w:t>ISSN 2224-1485 (print), ISSN 2307-10</w:t>
      </w:r>
      <w:r>
        <w:rPr>
          <w:color w:val="231F20"/>
          <w:sz w:val="15"/>
          <w:szCs w:val="15"/>
        </w:rPr>
        <w:t xml:space="preserve">95 (online) </w:t>
      </w:r>
      <w:r>
        <w:rPr>
          <w:color w:val="231F20"/>
          <w:sz w:val="18"/>
          <w:szCs w:val="18"/>
        </w:rPr>
        <w:t xml:space="preserve">Том 16, N¹ 1–2, 2023 </w:t>
      </w:r>
    </w:p>
    <w:p w:rsidR="00D607CD" w:rsidRDefault="001B586C">
      <w:pPr>
        <w:widowControl w:val="0"/>
        <w:pBdr>
          <w:top w:val="nil"/>
          <w:left w:val="nil"/>
          <w:bottom w:val="nil"/>
          <w:right w:val="nil"/>
          <w:between w:val="nil"/>
        </w:pBdr>
        <w:spacing w:line="240" w:lineRule="auto"/>
        <w:ind w:right="1846"/>
        <w:jc w:val="right"/>
        <w:rPr>
          <w:b/>
          <w:color w:val="FFFFFF"/>
          <w:sz w:val="20"/>
          <w:szCs w:val="20"/>
        </w:rPr>
        <w:sectPr w:rsidR="00D607CD">
          <w:type w:val="continuous"/>
          <w:pgSz w:w="11440" w:h="16820"/>
          <w:pgMar w:top="1075" w:right="827" w:bottom="998" w:left="866" w:header="0" w:footer="720" w:gutter="0"/>
          <w:cols w:space="720" w:equalWidth="0">
            <w:col w:w="9746" w:space="0"/>
          </w:cols>
        </w:sectPr>
      </w:pPr>
      <w:r>
        <w:rPr>
          <w:b/>
          <w:color w:val="FFFFFF"/>
          <w:sz w:val="20"/>
          <w:szCs w:val="20"/>
        </w:rPr>
        <w:t xml:space="preserve">КЛІНІЧНІ ДОСЛІДЖЕННЯ / CLINICIAL RESEARCHES </w:t>
      </w:r>
    </w:p>
    <w:p w:rsidR="00D607CD" w:rsidRDefault="001B586C">
      <w:pPr>
        <w:widowControl w:val="0"/>
        <w:pBdr>
          <w:top w:val="nil"/>
          <w:left w:val="nil"/>
          <w:bottom w:val="nil"/>
          <w:right w:val="nil"/>
          <w:between w:val="nil"/>
        </w:pBdr>
        <w:spacing w:before="331" w:line="242" w:lineRule="auto"/>
        <w:ind w:right="126" w:firstLine="7"/>
        <w:rPr>
          <w:color w:val="231F20"/>
          <w:sz w:val="19"/>
          <w:szCs w:val="19"/>
        </w:rPr>
      </w:pPr>
      <w:r>
        <w:rPr>
          <w:color w:val="231F20"/>
          <w:sz w:val="19"/>
          <w:szCs w:val="19"/>
        </w:rPr>
        <w:lastRenderedPageBreak/>
        <w:t>ніх рівнів АТ і ЧСС вдень та вночі [6]. Для того щоб  визначити негативний вплив від підвищення або,  навпаки, зниження АТ протягом доби, ми розра ховували індекс площі та індекс часу гіпертензії або  гіпотензії відповідно до стандартизованих методик  [4].</w:t>
      </w:r>
      <w:r>
        <w:rPr>
          <w:color w:val="231F20"/>
          <w:sz w:val="19"/>
          <w:szCs w:val="19"/>
        </w:rPr>
        <w:t xml:space="preserve"> Вранішню динаміку АТ розраховували відповід но до методів, запропонованих Каріо та співавто рами [3], а також оцінювали амплітуду підвищення  АТ, швидкість та величину вранішнього підйому АТ  [3]. Ми також розраховували показник добового ін дексу за форму</w:t>
      </w:r>
      <w:r>
        <w:rPr>
          <w:color w:val="231F20"/>
          <w:sz w:val="19"/>
          <w:szCs w:val="19"/>
        </w:rPr>
        <w:t xml:space="preserve">лою [2]:  </w:t>
      </w:r>
    </w:p>
    <w:p w:rsidR="00D607CD" w:rsidRDefault="001B586C">
      <w:pPr>
        <w:widowControl w:val="0"/>
        <w:pBdr>
          <w:top w:val="nil"/>
          <w:left w:val="nil"/>
          <w:bottom w:val="nil"/>
          <w:right w:val="nil"/>
          <w:between w:val="nil"/>
        </w:pBdr>
        <w:spacing w:before="123" w:line="240" w:lineRule="auto"/>
        <w:ind w:left="742"/>
        <w:rPr>
          <w:color w:val="231F20"/>
          <w:sz w:val="19"/>
          <w:szCs w:val="19"/>
        </w:rPr>
      </w:pPr>
      <w:r>
        <w:rPr>
          <w:color w:val="231F20"/>
          <w:sz w:val="31"/>
          <w:szCs w:val="31"/>
          <w:vertAlign w:val="superscript"/>
        </w:rPr>
        <w:t xml:space="preserve">(срАТд – срАТн) ДІ АТ = </w:t>
      </w:r>
      <w:r>
        <w:rPr>
          <w:rFonts w:ascii="Times New Roman" w:eastAsia="Times New Roman" w:hAnsi="Times New Roman" w:cs="Times New Roman"/>
          <w:color w:val="231F20"/>
          <w:sz w:val="31"/>
          <w:szCs w:val="31"/>
          <w:vertAlign w:val="superscript"/>
        </w:rPr>
        <w:t xml:space="preserve">× </w:t>
      </w:r>
      <w:r>
        <w:rPr>
          <w:color w:val="231F20"/>
          <w:sz w:val="31"/>
          <w:szCs w:val="31"/>
          <w:vertAlign w:val="superscript"/>
        </w:rPr>
        <w:t xml:space="preserve">100 %, </w:t>
      </w:r>
      <w:r>
        <w:rPr>
          <w:color w:val="231F20"/>
          <w:sz w:val="19"/>
          <w:szCs w:val="19"/>
        </w:rPr>
        <w:t xml:space="preserve">срАТд </w:t>
      </w:r>
    </w:p>
    <w:p w:rsidR="00D607CD" w:rsidRDefault="001B586C">
      <w:pPr>
        <w:widowControl w:val="0"/>
        <w:pBdr>
          <w:top w:val="nil"/>
          <w:left w:val="nil"/>
          <w:bottom w:val="nil"/>
          <w:right w:val="nil"/>
          <w:between w:val="nil"/>
        </w:pBdr>
        <w:spacing w:before="184" w:line="242" w:lineRule="auto"/>
        <w:ind w:left="1" w:right="126" w:hanging="1"/>
        <w:rPr>
          <w:color w:val="231F20"/>
          <w:sz w:val="19"/>
          <w:szCs w:val="19"/>
        </w:rPr>
      </w:pPr>
      <w:r>
        <w:rPr>
          <w:color w:val="231F20"/>
          <w:sz w:val="19"/>
          <w:szCs w:val="19"/>
        </w:rPr>
        <w:t>де ДІ — добовий індекс, АТ — артеріальний тиск, д —  у денний час, н — у нічний час, ср — середній рівень. Відповідно до результатів ми розподілили паці єнтів на підкатегорії: пацієнти із профілем АТ «ди п</w:t>
      </w:r>
      <w:r>
        <w:rPr>
          <w:color w:val="231F20"/>
          <w:sz w:val="19"/>
          <w:szCs w:val="19"/>
        </w:rPr>
        <w:t>ер» — пацієнти з нормальним зниженням АТ у  нічні години, у яких ДІ становить 10–20 % (цей тип,  за даними літератури, зустрічається у 52–82 % осіб),  пацієнти із профілем АТ «нон-дипер» — пацієнти з  недостатнім нічним зниженням АТ, у яких ДІ мен ше ніж 1</w:t>
      </w:r>
      <w:r>
        <w:rPr>
          <w:color w:val="231F20"/>
          <w:sz w:val="19"/>
          <w:szCs w:val="19"/>
        </w:rPr>
        <w:t xml:space="preserve">0 % (16–26 % хворих з АГ, за даними дже рел), пацієнти із профілем АТ «гіпердипер» — паці єнти з надмірним зниженням тиску вночі, у яких ДІ  більше ніж 20 % (близько 19 % хворих відповідно до  результатів досліджень), пацієнти із профілем АТ  «найт-пікер» </w:t>
      </w:r>
      <w:r>
        <w:rPr>
          <w:color w:val="231F20"/>
          <w:sz w:val="19"/>
          <w:szCs w:val="19"/>
        </w:rPr>
        <w:t xml:space="preserve">— особи з нічною гіпертензією, у яких  показники АТ у нічний час перевищують денні і ДІ  має негативне значення (близько 3 % хворих відпо </w:t>
      </w:r>
      <w:r>
        <w:rPr>
          <w:color w:val="231F20"/>
          <w:sz w:val="19"/>
          <w:szCs w:val="19"/>
        </w:rPr>
        <w:lastRenderedPageBreak/>
        <w:t xml:space="preserve">відно до даних літератури) [2]. </w:t>
      </w:r>
    </w:p>
    <w:p w:rsidR="00D607CD" w:rsidRDefault="001B586C">
      <w:pPr>
        <w:widowControl w:val="0"/>
        <w:pBdr>
          <w:top w:val="nil"/>
          <w:left w:val="nil"/>
          <w:bottom w:val="nil"/>
          <w:right w:val="nil"/>
          <w:between w:val="nil"/>
        </w:pBdr>
        <w:spacing w:line="242" w:lineRule="auto"/>
        <w:ind w:left="116" w:right="17" w:firstLine="288"/>
        <w:jc w:val="both"/>
        <w:rPr>
          <w:color w:val="231F20"/>
          <w:sz w:val="19"/>
          <w:szCs w:val="19"/>
        </w:rPr>
      </w:pPr>
      <w:r>
        <w:rPr>
          <w:color w:val="231F20"/>
          <w:sz w:val="19"/>
          <w:szCs w:val="19"/>
        </w:rPr>
        <w:t xml:space="preserve">Було сформовано базу даних та проведено  статистичний аналіз результатів за допомогою  програмного пакета IBM SPSS 26.0. Для оцінки  середніх величин і їх порівняння використову </w:t>
      </w:r>
    </w:p>
    <w:p w:rsidR="00D607CD" w:rsidRDefault="001B586C">
      <w:pPr>
        <w:widowControl w:val="0"/>
        <w:pBdr>
          <w:top w:val="nil"/>
          <w:left w:val="nil"/>
          <w:bottom w:val="nil"/>
          <w:right w:val="nil"/>
          <w:between w:val="nil"/>
        </w:pBdr>
        <w:spacing w:before="6" w:line="242" w:lineRule="auto"/>
        <w:ind w:left="110" w:right="17" w:firstLine="6"/>
        <w:rPr>
          <w:color w:val="231F20"/>
          <w:sz w:val="19"/>
          <w:szCs w:val="19"/>
        </w:rPr>
      </w:pPr>
      <w:r>
        <w:rPr>
          <w:color w:val="231F20"/>
          <w:sz w:val="19"/>
          <w:szCs w:val="19"/>
        </w:rPr>
        <w:t>вали t-критерій для оцінки незалежних вибірок.  Для оцінки достовірності част</w:t>
      </w:r>
      <w:r>
        <w:rPr>
          <w:color w:val="231F20"/>
          <w:sz w:val="19"/>
          <w:szCs w:val="19"/>
        </w:rPr>
        <w:t xml:space="preserve">от використову вали розрахунок методом хі-квадрат для визна чення достовірності частотної відмінності між  групами. </w:t>
      </w:r>
    </w:p>
    <w:p w:rsidR="00D607CD" w:rsidRDefault="001B586C">
      <w:pPr>
        <w:widowControl w:val="0"/>
        <w:pBdr>
          <w:top w:val="nil"/>
          <w:left w:val="nil"/>
          <w:bottom w:val="nil"/>
          <w:right w:val="nil"/>
          <w:between w:val="nil"/>
        </w:pBdr>
        <w:spacing w:before="155" w:line="240" w:lineRule="auto"/>
        <w:ind w:left="128"/>
        <w:rPr>
          <w:b/>
          <w:color w:val="231F20"/>
          <w:sz w:val="24"/>
          <w:szCs w:val="24"/>
        </w:rPr>
      </w:pPr>
      <w:r>
        <w:rPr>
          <w:b/>
          <w:color w:val="231F20"/>
          <w:sz w:val="24"/>
          <w:szCs w:val="24"/>
        </w:rPr>
        <w:t xml:space="preserve">Результати </w:t>
      </w:r>
    </w:p>
    <w:p w:rsidR="00D607CD" w:rsidRDefault="001B586C">
      <w:pPr>
        <w:widowControl w:val="0"/>
        <w:pBdr>
          <w:top w:val="nil"/>
          <w:left w:val="nil"/>
          <w:bottom w:val="nil"/>
          <w:right w:val="nil"/>
          <w:between w:val="nil"/>
        </w:pBdr>
        <w:spacing w:before="31" w:line="242" w:lineRule="auto"/>
        <w:ind w:left="108" w:right="17" w:firstLine="296"/>
        <w:rPr>
          <w:color w:val="231F20"/>
          <w:sz w:val="19"/>
          <w:szCs w:val="19"/>
        </w:rPr>
      </w:pPr>
      <w:r>
        <w:rPr>
          <w:color w:val="231F20"/>
          <w:sz w:val="19"/>
          <w:szCs w:val="19"/>
        </w:rPr>
        <w:t xml:space="preserve">Вихідні характеристики включених у дослі дження пацієнтів наведені у табл. 2. Як видно із  табл. 2, групи були порівнянними за віком, гендер ним складом та середньодобовими параметрами  АТ і ЧСС.  </w:t>
      </w:r>
    </w:p>
    <w:p w:rsidR="00D607CD" w:rsidRDefault="001B586C">
      <w:pPr>
        <w:widowControl w:val="0"/>
        <w:pBdr>
          <w:top w:val="nil"/>
          <w:left w:val="nil"/>
          <w:bottom w:val="nil"/>
          <w:right w:val="nil"/>
          <w:between w:val="nil"/>
        </w:pBdr>
        <w:spacing w:before="6" w:line="242" w:lineRule="auto"/>
        <w:ind w:left="110" w:right="17" w:firstLine="283"/>
        <w:rPr>
          <w:color w:val="231F20"/>
          <w:sz w:val="19"/>
          <w:szCs w:val="19"/>
        </w:rPr>
      </w:pPr>
      <w:r>
        <w:rPr>
          <w:color w:val="231F20"/>
          <w:sz w:val="19"/>
          <w:szCs w:val="19"/>
        </w:rPr>
        <w:t>Як вже було зазначено, початково усі групи були  порівнянн</w:t>
      </w:r>
      <w:r>
        <w:rPr>
          <w:color w:val="231F20"/>
          <w:sz w:val="19"/>
          <w:szCs w:val="19"/>
        </w:rPr>
        <w:t>і за основними демографічними характе ристиками — віком, гендерним складом та середні ми показниками АТ і ЧСС. Пацієнти усіх груп були  середнього віку, чоловіків і жінок у всіх групах було  порівну. Більш того, цілком порівнянними були  дані середньодобов</w:t>
      </w:r>
      <w:r>
        <w:rPr>
          <w:color w:val="231F20"/>
          <w:sz w:val="19"/>
          <w:szCs w:val="19"/>
        </w:rPr>
        <w:t xml:space="preserve">их САТ, ДАТ, ПАТ і ЧСС. Тобто  в цілому можна сказати, що це були пацієнти екві валентного профілю, які відрізнялися виключно  терміном, коли вони звернулися до клініки Інсти туту. </w:t>
      </w:r>
    </w:p>
    <w:p w:rsidR="00D607CD" w:rsidRDefault="001B586C">
      <w:pPr>
        <w:widowControl w:val="0"/>
        <w:pBdr>
          <w:top w:val="nil"/>
          <w:left w:val="nil"/>
          <w:bottom w:val="nil"/>
          <w:right w:val="nil"/>
          <w:between w:val="nil"/>
        </w:pBdr>
        <w:spacing w:before="6" w:line="242" w:lineRule="auto"/>
        <w:ind w:left="116" w:right="17"/>
        <w:jc w:val="right"/>
        <w:rPr>
          <w:color w:val="231F20"/>
          <w:sz w:val="19"/>
          <w:szCs w:val="19"/>
        </w:rPr>
        <w:sectPr w:rsidR="00D607CD">
          <w:type w:val="continuous"/>
          <w:pgSz w:w="11440" w:h="16820"/>
          <w:pgMar w:top="1075" w:right="822" w:bottom="998" w:left="875" w:header="0" w:footer="720" w:gutter="0"/>
          <w:cols w:num="2" w:space="720" w:equalWidth="0">
            <w:col w:w="4880" w:space="0"/>
            <w:col w:w="4880" w:space="0"/>
          </w:cols>
        </w:sectPr>
      </w:pPr>
      <w:r>
        <w:rPr>
          <w:color w:val="231F20"/>
          <w:sz w:val="19"/>
          <w:szCs w:val="19"/>
        </w:rPr>
        <w:t>Однак єдиною відмінною рисою, що можна по ба</w:t>
      </w:r>
      <w:r>
        <w:rPr>
          <w:color w:val="231F20"/>
          <w:sz w:val="19"/>
          <w:szCs w:val="19"/>
        </w:rPr>
        <w:t>чити з наведених даних, був достовірно нижчий  відсоток зниження САТ і ДАТ вночі у першій гру пі порівняно із усіма іншими групами. Окрім цієї  групи, подібних результатів ми не виявили в жодній  іншій групі. Такі зміни означають, що під час ши-</w:t>
      </w:r>
    </w:p>
    <w:p w:rsidR="00D607CD" w:rsidRDefault="001B586C">
      <w:pPr>
        <w:widowControl w:val="0"/>
        <w:pBdr>
          <w:top w:val="nil"/>
          <w:left w:val="nil"/>
          <w:bottom w:val="nil"/>
          <w:right w:val="nil"/>
          <w:between w:val="nil"/>
        </w:pBdr>
        <w:spacing w:before="341" w:line="240" w:lineRule="auto"/>
        <w:jc w:val="center"/>
        <w:rPr>
          <w:b/>
          <w:i/>
          <w:color w:val="231F20"/>
          <w:sz w:val="18"/>
          <w:szCs w:val="18"/>
        </w:rPr>
      </w:pPr>
      <w:r>
        <w:rPr>
          <w:b/>
          <w:i/>
          <w:color w:val="231F20"/>
          <w:sz w:val="18"/>
          <w:szCs w:val="18"/>
        </w:rPr>
        <w:lastRenderedPageBreak/>
        <w:t xml:space="preserve">Таблиця 1. Загальна характеристика включених пацієнтів </w:t>
      </w:r>
    </w:p>
    <w:tbl>
      <w:tblPr>
        <w:tblStyle w:val="a5"/>
        <w:tblW w:w="9696" w:type="dxa"/>
        <w:tblInd w:w="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7"/>
        <w:gridCol w:w="1616"/>
        <w:gridCol w:w="1616"/>
        <w:gridCol w:w="1616"/>
        <w:gridCol w:w="1616"/>
        <w:gridCol w:w="885"/>
      </w:tblGrid>
      <w:tr w:rsidR="00D607CD">
        <w:trPr>
          <w:trHeight w:val="607"/>
        </w:trPr>
        <w:tc>
          <w:tcPr>
            <w:tcW w:w="234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Показники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Війна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До війни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Ковід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Спокій </w:t>
            </w:r>
          </w:p>
        </w:tc>
        <w:tc>
          <w:tcPr>
            <w:tcW w:w="88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Р</w:t>
            </w:r>
          </w:p>
        </w:tc>
      </w:tr>
      <w:tr w:rsidR="00D607CD">
        <w:trPr>
          <w:trHeight w:val="396"/>
        </w:trPr>
        <w:tc>
          <w:tcPr>
            <w:tcW w:w="234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14"/>
              <w:rPr>
                <w:color w:val="231F20"/>
                <w:sz w:val="18"/>
                <w:szCs w:val="18"/>
              </w:rPr>
            </w:pPr>
            <w:r>
              <w:rPr>
                <w:color w:val="231F20"/>
                <w:sz w:val="18"/>
                <w:szCs w:val="18"/>
              </w:rPr>
              <w:t xml:space="preserve">Вік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53,2 ± 2,6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57,2 ± 2,8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54,8 ± 2,3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54,3 ± 3,5 </w:t>
            </w:r>
          </w:p>
        </w:tc>
        <w:tc>
          <w:tcPr>
            <w:tcW w:w="88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396"/>
        </w:trPr>
        <w:tc>
          <w:tcPr>
            <w:tcW w:w="234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08"/>
              <w:rPr>
                <w:color w:val="231F20"/>
                <w:sz w:val="18"/>
                <w:szCs w:val="18"/>
              </w:rPr>
            </w:pPr>
            <w:r>
              <w:rPr>
                <w:color w:val="231F20"/>
                <w:sz w:val="18"/>
                <w:szCs w:val="18"/>
              </w:rPr>
              <w:t xml:space="preserve">Стать (ж/ч), %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45/55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50/50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45/55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55/45 </w:t>
            </w:r>
          </w:p>
        </w:tc>
        <w:tc>
          <w:tcPr>
            <w:tcW w:w="88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600"/>
        </w:trPr>
        <w:tc>
          <w:tcPr>
            <w:tcW w:w="234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22" w:lineRule="auto"/>
              <w:ind w:left="112" w:right="159" w:hanging="8"/>
              <w:rPr>
                <w:color w:val="231F20"/>
                <w:sz w:val="18"/>
                <w:szCs w:val="18"/>
              </w:rPr>
            </w:pPr>
            <w:r>
              <w:rPr>
                <w:color w:val="231F20"/>
                <w:sz w:val="18"/>
                <w:szCs w:val="18"/>
              </w:rPr>
              <w:t xml:space="preserve">Діагноз АГ встановлено  вперше, %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35 </w:t>
            </w:r>
          </w:p>
        </w:tc>
        <w:tc>
          <w:tcPr>
            <w:tcW w:w="88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589"/>
        </w:trPr>
        <w:tc>
          <w:tcPr>
            <w:tcW w:w="234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22" w:lineRule="auto"/>
              <w:ind w:left="101" w:right="445" w:firstLine="12"/>
              <w:rPr>
                <w:color w:val="231F20"/>
                <w:sz w:val="18"/>
                <w:szCs w:val="18"/>
              </w:rPr>
            </w:pPr>
            <w:r>
              <w:rPr>
                <w:color w:val="231F20"/>
                <w:sz w:val="18"/>
                <w:szCs w:val="18"/>
              </w:rPr>
              <w:t xml:space="preserve">Раніше не приймали  жодної АГ-терапії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35 </w:t>
            </w:r>
          </w:p>
        </w:tc>
        <w:tc>
          <w:tcPr>
            <w:tcW w:w="88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396"/>
        </w:trPr>
        <w:tc>
          <w:tcPr>
            <w:tcW w:w="234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14"/>
              <w:rPr>
                <w:color w:val="231F20"/>
                <w:sz w:val="18"/>
                <w:szCs w:val="18"/>
              </w:rPr>
            </w:pPr>
            <w:r>
              <w:rPr>
                <w:color w:val="231F20"/>
                <w:sz w:val="18"/>
                <w:szCs w:val="18"/>
              </w:rPr>
              <w:t xml:space="preserve">Приймали іАПФ, %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55 </w:t>
            </w:r>
          </w:p>
        </w:tc>
        <w:tc>
          <w:tcPr>
            <w:tcW w:w="88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374"/>
        </w:trPr>
        <w:tc>
          <w:tcPr>
            <w:tcW w:w="234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14"/>
              <w:rPr>
                <w:color w:val="231F20"/>
                <w:sz w:val="18"/>
                <w:szCs w:val="18"/>
              </w:rPr>
            </w:pPr>
            <w:r>
              <w:rPr>
                <w:color w:val="231F20"/>
                <w:sz w:val="18"/>
                <w:szCs w:val="18"/>
              </w:rPr>
              <w:t xml:space="preserve">Приймали БРА, %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35 </w:t>
            </w:r>
          </w:p>
        </w:tc>
        <w:tc>
          <w:tcPr>
            <w:tcW w:w="88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321"/>
        </w:trPr>
        <w:tc>
          <w:tcPr>
            <w:tcW w:w="234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14"/>
              <w:rPr>
                <w:color w:val="231F20"/>
                <w:sz w:val="18"/>
                <w:szCs w:val="18"/>
              </w:rPr>
            </w:pPr>
            <w:r>
              <w:rPr>
                <w:color w:val="231F20"/>
                <w:sz w:val="18"/>
                <w:szCs w:val="18"/>
              </w:rPr>
              <w:t xml:space="preserve">Приймали діуретики, %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15 </w:t>
            </w:r>
          </w:p>
        </w:tc>
        <w:tc>
          <w:tcPr>
            <w:tcW w:w="88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321"/>
        </w:trPr>
        <w:tc>
          <w:tcPr>
            <w:tcW w:w="234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14"/>
              <w:rPr>
                <w:color w:val="231F20"/>
                <w:sz w:val="18"/>
                <w:szCs w:val="18"/>
              </w:rPr>
            </w:pPr>
            <w:r>
              <w:rPr>
                <w:color w:val="231F20"/>
                <w:sz w:val="18"/>
                <w:szCs w:val="18"/>
              </w:rPr>
              <w:t xml:space="preserve">Приймали БКК, %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 </w:t>
            </w:r>
          </w:p>
        </w:tc>
        <w:tc>
          <w:tcPr>
            <w:tcW w:w="88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321"/>
        </w:trPr>
        <w:tc>
          <w:tcPr>
            <w:tcW w:w="234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14"/>
              <w:rPr>
                <w:color w:val="231F20"/>
                <w:sz w:val="18"/>
                <w:szCs w:val="18"/>
              </w:rPr>
            </w:pPr>
            <w:r>
              <w:rPr>
                <w:color w:val="231F20"/>
                <w:sz w:val="18"/>
                <w:szCs w:val="18"/>
              </w:rPr>
              <w:lastRenderedPageBreak/>
              <w:t xml:space="preserve">Приймали ББ, %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30 </w:t>
            </w:r>
          </w:p>
        </w:tc>
        <w:tc>
          <w:tcPr>
            <w:tcW w:w="88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538"/>
        </w:trPr>
        <w:tc>
          <w:tcPr>
            <w:tcW w:w="234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22" w:lineRule="auto"/>
              <w:ind w:left="102" w:right="386" w:firstLine="11"/>
              <w:rPr>
                <w:color w:val="231F20"/>
                <w:sz w:val="18"/>
                <w:szCs w:val="18"/>
              </w:rPr>
            </w:pPr>
            <w:r>
              <w:rPr>
                <w:color w:val="231F20"/>
                <w:sz w:val="18"/>
                <w:szCs w:val="18"/>
              </w:rPr>
              <w:t xml:space="preserve">Приймали препарати  другого ряду, %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0 </w:t>
            </w:r>
          </w:p>
        </w:tc>
        <w:tc>
          <w:tcPr>
            <w:tcW w:w="88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bl>
    <w:p w:rsidR="00D607CD" w:rsidRDefault="00D607CD">
      <w:pPr>
        <w:widowControl w:val="0"/>
        <w:pBdr>
          <w:top w:val="nil"/>
          <w:left w:val="nil"/>
          <w:bottom w:val="nil"/>
          <w:right w:val="nil"/>
          <w:between w:val="nil"/>
        </w:pBdr>
        <w:rPr>
          <w:color w:val="000000"/>
        </w:rPr>
      </w:pPr>
    </w:p>
    <w:p w:rsidR="00D607CD" w:rsidRDefault="00D607CD">
      <w:pPr>
        <w:widowControl w:val="0"/>
        <w:pBdr>
          <w:top w:val="nil"/>
          <w:left w:val="nil"/>
          <w:bottom w:val="nil"/>
          <w:right w:val="nil"/>
          <w:between w:val="nil"/>
        </w:pBdr>
        <w:rPr>
          <w:color w:val="000000"/>
        </w:rPr>
      </w:pPr>
    </w:p>
    <w:p w:rsidR="00D607CD" w:rsidRDefault="001B586C">
      <w:pPr>
        <w:widowControl w:val="0"/>
        <w:pBdr>
          <w:top w:val="nil"/>
          <w:left w:val="nil"/>
          <w:bottom w:val="nil"/>
          <w:right w:val="nil"/>
          <w:between w:val="nil"/>
        </w:pBdr>
        <w:spacing w:line="222" w:lineRule="auto"/>
        <w:ind w:left="21" w:right="212" w:hanging="6"/>
        <w:rPr>
          <w:b/>
          <w:i/>
          <w:color w:val="231F20"/>
          <w:sz w:val="18"/>
          <w:szCs w:val="18"/>
        </w:rPr>
      </w:pPr>
      <w:r>
        <w:rPr>
          <w:b/>
          <w:i/>
          <w:color w:val="231F20"/>
          <w:sz w:val="18"/>
          <w:szCs w:val="18"/>
        </w:rPr>
        <w:t xml:space="preserve">Примітки: іАПФ — інгібітори ангіотензинперетворюючого фермента, БРА — блокатори рецепторів ангіо тензину ІІ, БКК — блокатори кальцієвих каналів, ББ — бета-блокатори, НД — не достовірно. </w:t>
      </w:r>
    </w:p>
    <w:p w:rsidR="00D607CD" w:rsidRDefault="001B586C">
      <w:pPr>
        <w:widowControl w:val="0"/>
        <w:pBdr>
          <w:top w:val="nil"/>
          <w:left w:val="nil"/>
          <w:bottom w:val="nil"/>
          <w:right w:val="nil"/>
          <w:between w:val="nil"/>
        </w:pBdr>
        <w:spacing w:before="372" w:line="240" w:lineRule="auto"/>
        <w:jc w:val="center"/>
        <w:rPr>
          <w:b/>
          <w:color w:val="231F20"/>
          <w:sz w:val="20"/>
          <w:szCs w:val="20"/>
        </w:rPr>
      </w:pPr>
      <w:r>
        <w:rPr>
          <w:color w:val="231F20"/>
          <w:sz w:val="18"/>
          <w:szCs w:val="18"/>
        </w:rPr>
        <w:t xml:space="preserve">Том 16, N¹ 1–2, 2023 </w:t>
      </w:r>
      <w:r>
        <w:rPr>
          <w:color w:val="231F20"/>
          <w:sz w:val="19"/>
          <w:szCs w:val="19"/>
        </w:rPr>
        <w:t xml:space="preserve">www.mif-ua.com, http://hypertension.zaslavsky.com.ua </w:t>
      </w:r>
      <w:r>
        <w:rPr>
          <w:b/>
          <w:color w:val="231F20"/>
          <w:sz w:val="20"/>
          <w:szCs w:val="20"/>
        </w:rPr>
        <w:t xml:space="preserve">45 </w:t>
      </w:r>
    </w:p>
    <w:p w:rsidR="00D607CD" w:rsidRDefault="001B586C">
      <w:pPr>
        <w:widowControl w:val="0"/>
        <w:pBdr>
          <w:top w:val="nil"/>
          <w:left w:val="nil"/>
          <w:bottom w:val="nil"/>
          <w:right w:val="nil"/>
          <w:between w:val="nil"/>
        </w:pBdr>
        <w:spacing w:line="240" w:lineRule="auto"/>
        <w:ind w:left="1831"/>
        <w:rPr>
          <w:b/>
          <w:color w:val="FFFFFF"/>
          <w:sz w:val="20"/>
          <w:szCs w:val="20"/>
        </w:rPr>
        <w:sectPr w:rsidR="00D607CD">
          <w:type w:val="continuous"/>
          <w:pgSz w:w="11440" w:h="16820"/>
          <w:pgMar w:top="1075" w:right="827" w:bottom="998" w:left="866" w:header="0" w:footer="720" w:gutter="0"/>
          <w:cols w:space="720" w:equalWidth="0">
            <w:col w:w="9746" w:space="0"/>
          </w:cols>
        </w:sectPr>
      </w:pPr>
      <w:r>
        <w:rPr>
          <w:b/>
          <w:color w:val="FFFFFF"/>
          <w:sz w:val="20"/>
          <w:szCs w:val="20"/>
        </w:rPr>
        <w:t xml:space="preserve">КЛІНІЧНІ ДОСЛІДЖЕННЯ / CLINICIAL RESEARCHES </w:t>
      </w:r>
    </w:p>
    <w:p w:rsidR="00D607CD" w:rsidRDefault="001B586C">
      <w:pPr>
        <w:widowControl w:val="0"/>
        <w:pBdr>
          <w:top w:val="nil"/>
          <w:left w:val="nil"/>
          <w:bottom w:val="nil"/>
          <w:right w:val="nil"/>
          <w:between w:val="nil"/>
        </w:pBdr>
        <w:spacing w:before="329" w:line="242" w:lineRule="auto"/>
        <w:ind w:left="6" w:right="127" w:hanging="3"/>
        <w:rPr>
          <w:color w:val="231F20"/>
          <w:sz w:val="19"/>
          <w:szCs w:val="19"/>
        </w:rPr>
      </w:pPr>
      <w:r>
        <w:rPr>
          <w:color w:val="231F20"/>
          <w:sz w:val="19"/>
          <w:szCs w:val="19"/>
        </w:rPr>
        <w:lastRenderedPageBreak/>
        <w:t xml:space="preserve">рокомасштабного військового вторгнення ступінь  зниження АТ уночі погіршився, а нормальний цир кадний ритм профілю АТ протягом доби у всіх паці єнтів було втрачено. </w:t>
      </w:r>
    </w:p>
    <w:p w:rsidR="00D607CD" w:rsidRDefault="001B586C">
      <w:pPr>
        <w:widowControl w:val="0"/>
        <w:pBdr>
          <w:top w:val="nil"/>
          <w:left w:val="nil"/>
          <w:bottom w:val="nil"/>
          <w:right w:val="nil"/>
          <w:between w:val="nil"/>
        </w:pBdr>
        <w:spacing w:before="6" w:line="242" w:lineRule="auto"/>
        <w:ind w:left="6" w:right="127" w:firstLine="277"/>
        <w:rPr>
          <w:color w:val="231F20"/>
          <w:sz w:val="19"/>
          <w:szCs w:val="19"/>
        </w:rPr>
      </w:pPr>
      <w:r>
        <w:rPr>
          <w:color w:val="231F20"/>
          <w:sz w:val="19"/>
          <w:szCs w:val="19"/>
        </w:rPr>
        <w:t xml:space="preserve">Дані більш детального аналізу показників ДМАТ  наведено у табл. 3. </w:t>
      </w:r>
    </w:p>
    <w:p w:rsidR="00D607CD" w:rsidRDefault="001B586C">
      <w:pPr>
        <w:widowControl w:val="0"/>
        <w:pBdr>
          <w:top w:val="nil"/>
          <w:left w:val="nil"/>
          <w:bottom w:val="nil"/>
          <w:right w:val="nil"/>
          <w:between w:val="nil"/>
        </w:pBdr>
        <w:spacing w:before="6" w:line="242" w:lineRule="auto"/>
        <w:ind w:right="127" w:firstLine="296"/>
        <w:rPr>
          <w:color w:val="231F20"/>
          <w:sz w:val="19"/>
          <w:szCs w:val="19"/>
        </w:rPr>
      </w:pPr>
      <w:r>
        <w:rPr>
          <w:color w:val="231F20"/>
          <w:sz w:val="19"/>
          <w:szCs w:val="19"/>
        </w:rPr>
        <w:t>Основний показник варіабельності АТ протя гом доби характеризує значення СВ, достовірно  було вищим у другій групі порівняно із першою  та третьою групами як для систолічного, так і для  діастолічного АТ. Для ДАТ показник СВ також був  вищим і порівняно із</w:t>
      </w:r>
      <w:r>
        <w:rPr>
          <w:color w:val="231F20"/>
          <w:sz w:val="19"/>
          <w:szCs w:val="19"/>
        </w:rPr>
        <w:t xml:space="preserve"> четвертою групою. Крім того,  СВ середнього АТ також достовірно було вищим у  другій групі проти третьої. А тому можна стверджу вати, що до початку повномасштабного вторгнен ня на території України у пацієнтів спостерігалися  достовірно більші коливання А</w:t>
      </w:r>
      <w:r>
        <w:rPr>
          <w:color w:val="231F20"/>
          <w:sz w:val="19"/>
          <w:szCs w:val="19"/>
        </w:rPr>
        <w:t xml:space="preserve">Т протягом доби,  ніж під час бойових дій або пандемії коронавірус ної інфекції. </w:t>
      </w:r>
    </w:p>
    <w:p w:rsidR="00D607CD" w:rsidRDefault="001B586C">
      <w:pPr>
        <w:widowControl w:val="0"/>
        <w:pBdr>
          <w:top w:val="nil"/>
          <w:left w:val="nil"/>
          <w:bottom w:val="nil"/>
          <w:right w:val="nil"/>
          <w:between w:val="nil"/>
        </w:pBdr>
        <w:spacing w:before="6" w:line="242" w:lineRule="auto"/>
        <w:ind w:left="2" w:right="127" w:firstLine="294"/>
        <w:rPr>
          <w:color w:val="231F20"/>
          <w:sz w:val="19"/>
          <w:szCs w:val="19"/>
        </w:rPr>
      </w:pPr>
      <w:r>
        <w:rPr>
          <w:color w:val="231F20"/>
          <w:sz w:val="19"/>
          <w:szCs w:val="19"/>
        </w:rPr>
        <w:t xml:space="preserve">Окрім того, у другій групі спостерігалася до стовірно найвища амплітуда підйому (різниця між  середньонічним рівнем АТ та рівнем АТ у ранко вий час) САТ, ДАТ і середнього АТ </w:t>
      </w:r>
      <w:r>
        <w:rPr>
          <w:color w:val="231F20"/>
          <w:sz w:val="19"/>
          <w:szCs w:val="19"/>
        </w:rPr>
        <w:t>протягом доби.  Найнижчу амплітуду вранішніх САТ і ДАТ у пер шій групі можна пояснити знову ж таки тим, що у  цій групі відмічалося найбільше зниження АТ уно чі, а отже, і різниця тиску на цьому фоні відповід ним чином нівелювалася. Окрім того, саме у друг</w:t>
      </w:r>
      <w:r>
        <w:rPr>
          <w:color w:val="231F20"/>
          <w:sz w:val="19"/>
          <w:szCs w:val="19"/>
        </w:rPr>
        <w:t xml:space="preserve">ій  групі спостерігався найвищий рівень САТ уранці,  а різниця виявилася достовірною порівняно із тре тьою </w:t>
      </w:r>
      <w:r>
        <w:rPr>
          <w:color w:val="231F20"/>
          <w:sz w:val="19"/>
          <w:szCs w:val="19"/>
        </w:rPr>
        <w:lastRenderedPageBreak/>
        <w:t xml:space="preserve">групою. </w:t>
      </w:r>
    </w:p>
    <w:p w:rsidR="00D607CD" w:rsidRDefault="001B586C">
      <w:pPr>
        <w:widowControl w:val="0"/>
        <w:pBdr>
          <w:top w:val="nil"/>
          <w:left w:val="nil"/>
          <w:bottom w:val="nil"/>
          <w:right w:val="nil"/>
          <w:between w:val="nil"/>
        </w:pBdr>
        <w:spacing w:line="242" w:lineRule="auto"/>
        <w:ind w:left="108" w:right="19" w:firstLine="283"/>
        <w:rPr>
          <w:color w:val="231F20"/>
          <w:sz w:val="19"/>
          <w:szCs w:val="19"/>
        </w:rPr>
      </w:pPr>
      <w:r>
        <w:rPr>
          <w:color w:val="231F20"/>
          <w:sz w:val="19"/>
          <w:szCs w:val="19"/>
        </w:rPr>
        <w:t xml:space="preserve">Для того щоб більш детально оцінити профіль  добового індексу у групах, ми оцінили частоту ви явлення пацієнтів із профілем АТ «дипер», «нон дипер», «найт-пікер» і «гіпердипер» у групах. Дані  наведено у табл. 4. </w:t>
      </w:r>
    </w:p>
    <w:p w:rsidR="00D607CD" w:rsidRDefault="001B586C">
      <w:pPr>
        <w:widowControl w:val="0"/>
        <w:pBdr>
          <w:top w:val="nil"/>
          <w:left w:val="nil"/>
          <w:bottom w:val="nil"/>
          <w:right w:val="nil"/>
          <w:between w:val="nil"/>
        </w:pBdr>
        <w:spacing w:before="6" w:line="242" w:lineRule="auto"/>
        <w:ind w:left="107" w:right="19" w:firstLine="284"/>
        <w:rPr>
          <w:color w:val="231F20"/>
          <w:sz w:val="19"/>
          <w:szCs w:val="19"/>
        </w:rPr>
      </w:pPr>
      <w:r>
        <w:rPr>
          <w:color w:val="231F20"/>
          <w:sz w:val="19"/>
          <w:szCs w:val="19"/>
        </w:rPr>
        <w:t>Як видно із табл. 4, найбільша частота нон</w:t>
      </w:r>
      <w:r>
        <w:rPr>
          <w:color w:val="231F20"/>
          <w:sz w:val="19"/>
          <w:szCs w:val="19"/>
        </w:rPr>
        <w:t xml:space="preserve"> диперів для САТ і ДАТ спостерігалася у першій  групі, що відповідає попереднім результатам щодо  найменш вираженого зниження АТ уночі у цій групі  пацієнтів. Також привертає увагу, що друга та чет верта групи були порівнянними за частотою статусу  зниженн</w:t>
      </w:r>
      <w:r>
        <w:rPr>
          <w:color w:val="231F20"/>
          <w:sz w:val="19"/>
          <w:szCs w:val="19"/>
        </w:rPr>
        <w:t>я АТ уночі. Окрім того, варто зазначити, що  достовірно більшою кількість пацієнтів із профілем  АТ «гіпердипер» була у четвертій групі, ніж в інших  групах спостереження. Примітно, що кількість па цієнтів із профілем АТ «найт-пікер» була однаковою  в усіх</w:t>
      </w:r>
      <w:r>
        <w:rPr>
          <w:color w:val="231F20"/>
          <w:sz w:val="19"/>
          <w:szCs w:val="19"/>
        </w:rPr>
        <w:t xml:space="preserve"> чотирьох групах; це, ймовірно, може свідчити  про те, що статус «найт-пікер» пов’язаний із іншими  чинниками та супутніми захворюваннями і зустріча ється у популяції пацієнтів із АГ із приблизно одна ковою частотою, наведеною нами у табл. 4. </w:t>
      </w:r>
    </w:p>
    <w:p w:rsidR="00D607CD" w:rsidRDefault="001B586C">
      <w:pPr>
        <w:widowControl w:val="0"/>
        <w:pBdr>
          <w:top w:val="nil"/>
          <w:left w:val="nil"/>
          <w:bottom w:val="nil"/>
          <w:right w:val="nil"/>
          <w:between w:val="nil"/>
        </w:pBdr>
        <w:spacing w:before="6" w:line="242" w:lineRule="auto"/>
        <w:ind w:left="108" w:right="19" w:firstLine="289"/>
        <w:rPr>
          <w:color w:val="231F20"/>
          <w:sz w:val="19"/>
          <w:szCs w:val="19"/>
        </w:rPr>
        <w:sectPr w:rsidR="00D607CD">
          <w:type w:val="continuous"/>
          <w:pgSz w:w="11440" w:h="16820"/>
          <w:pgMar w:top="1075" w:right="822" w:bottom="998" w:left="876" w:header="0" w:footer="720" w:gutter="0"/>
          <w:cols w:num="2" w:space="720" w:equalWidth="0">
            <w:col w:w="4880" w:space="0"/>
            <w:col w:w="4880" w:space="0"/>
          </w:cols>
        </w:sectPr>
      </w:pPr>
      <w:r>
        <w:rPr>
          <w:color w:val="231F20"/>
          <w:sz w:val="19"/>
          <w:szCs w:val="19"/>
        </w:rPr>
        <w:t>Також варто зазначити, що більше жодних до стовірних відмінностей для ключових показників  добового профілю АТ ми не спостерігали (середній  рівень АТ у денний та нічний період, максимальні і  мінімальні значення АТ, навантаж</w:t>
      </w:r>
      <w:r>
        <w:rPr>
          <w:color w:val="231F20"/>
          <w:sz w:val="19"/>
          <w:szCs w:val="19"/>
        </w:rPr>
        <w:t>ення гіпертензі єю або гіпотензією тощо). І тут важливо, що, ймо вірно, вплив цих стресогенних чинників настільки  специфічний, однак очевидний і значимий, що  лише детальний аналіз параметрів ДМАТ дозволив  нам його оцінити.</w:t>
      </w:r>
    </w:p>
    <w:p w:rsidR="00D607CD" w:rsidRDefault="001B586C">
      <w:pPr>
        <w:widowControl w:val="0"/>
        <w:pBdr>
          <w:top w:val="nil"/>
          <w:left w:val="nil"/>
          <w:bottom w:val="nil"/>
          <w:right w:val="nil"/>
          <w:between w:val="nil"/>
        </w:pBdr>
        <w:spacing w:before="222" w:line="240" w:lineRule="auto"/>
        <w:jc w:val="center"/>
        <w:rPr>
          <w:b/>
          <w:i/>
          <w:color w:val="231F20"/>
          <w:sz w:val="18"/>
          <w:szCs w:val="18"/>
        </w:rPr>
      </w:pPr>
      <w:r>
        <w:rPr>
          <w:b/>
          <w:i/>
          <w:color w:val="231F20"/>
          <w:sz w:val="18"/>
          <w:szCs w:val="18"/>
        </w:rPr>
        <w:lastRenderedPageBreak/>
        <w:t xml:space="preserve">Таблиця 2. Порівняльна характеристика загальних показників ДМАТ у групах </w:t>
      </w:r>
    </w:p>
    <w:tbl>
      <w:tblPr>
        <w:tblStyle w:val="a6"/>
        <w:tblW w:w="9668" w:type="dxa"/>
        <w:tblInd w:w="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64"/>
        <w:gridCol w:w="1462"/>
        <w:gridCol w:w="1457"/>
        <w:gridCol w:w="1400"/>
        <w:gridCol w:w="1377"/>
        <w:gridCol w:w="908"/>
      </w:tblGrid>
      <w:tr w:rsidR="00D607CD">
        <w:trPr>
          <w:trHeight w:val="550"/>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Показники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Війна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До війни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Ковід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Спокій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Р</w:t>
            </w:r>
          </w:p>
        </w:tc>
      </w:tr>
      <w:tr w:rsidR="00D607CD">
        <w:trPr>
          <w:trHeight w:val="2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7"/>
              <w:rPr>
                <w:color w:val="231F20"/>
                <w:sz w:val="18"/>
                <w:szCs w:val="18"/>
              </w:rPr>
            </w:pPr>
            <w:r>
              <w:rPr>
                <w:color w:val="231F20"/>
                <w:sz w:val="18"/>
                <w:szCs w:val="18"/>
              </w:rPr>
              <w:t xml:space="preserve">Ступінь зниження САТ уночі, %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7,6 ± 1,3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13,7 ± 1,6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11,8 ± 1,6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12,2 ± 1,5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1, 2, 3</w:t>
            </w:r>
          </w:p>
        </w:tc>
      </w:tr>
      <w:tr w:rsidR="00D607CD">
        <w:trPr>
          <w:trHeight w:val="2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7"/>
              <w:rPr>
                <w:color w:val="231F20"/>
                <w:sz w:val="18"/>
                <w:szCs w:val="18"/>
              </w:rPr>
            </w:pPr>
            <w:r>
              <w:rPr>
                <w:color w:val="231F20"/>
                <w:sz w:val="18"/>
                <w:szCs w:val="18"/>
              </w:rPr>
              <w:t xml:space="preserve">Ступінь зниження ДАТ уночі, %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10,2 ± 1,4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17,4 ± 1,7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14,5 ± 1,5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14,2 ± 1,2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1, 2, 3</w:t>
            </w:r>
          </w:p>
        </w:tc>
      </w:tr>
      <w:tr w:rsidR="00D607CD">
        <w:trPr>
          <w:trHeight w:val="2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7"/>
              <w:rPr>
                <w:color w:val="231F20"/>
                <w:sz w:val="18"/>
                <w:szCs w:val="18"/>
              </w:rPr>
            </w:pPr>
            <w:r>
              <w:rPr>
                <w:color w:val="231F20"/>
                <w:sz w:val="18"/>
                <w:szCs w:val="18"/>
              </w:rPr>
              <w:t xml:space="preserve">Середньодобовий САТ, мм рт.ст.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132,8 ± 4,2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133,5 ± 3,4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130,4 ± 4,5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133,6 ± 3,5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7"/>
              <w:rPr>
                <w:color w:val="231F20"/>
                <w:sz w:val="18"/>
                <w:szCs w:val="18"/>
              </w:rPr>
            </w:pPr>
            <w:r>
              <w:rPr>
                <w:color w:val="231F20"/>
                <w:sz w:val="18"/>
                <w:szCs w:val="18"/>
              </w:rPr>
              <w:t xml:space="preserve">Середньодобовий ДАТ, мм рт.ст.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83,4 ± 2,3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83,6 ± 2,7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81,7 ± 3,3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81,2 ± 2,9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4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22" w:lineRule="auto"/>
              <w:ind w:left="101" w:right="269" w:hanging="3"/>
              <w:rPr>
                <w:color w:val="231F20"/>
                <w:sz w:val="18"/>
                <w:szCs w:val="18"/>
              </w:rPr>
            </w:pPr>
            <w:r>
              <w:rPr>
                <w:color w:val="231F20"/>
                <w:sz w:val="18"/>
                <w:szCs w:val="18"/>
              </w:rPr>
              <w:t xml:space="preserve">Середньодобовий середній АТ,  мм рт.ст.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103,3 ± 2,8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104,3 ± 2,8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101,9 ± 3,7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103,2 ± 3,1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7"/>
              <w:rPr>
                <w:color w:val="231F20"/>
                <w:sz w:val="18"/>
                <w:szCs w:val="18"/>
              </w:rPr>
            </w:pPr>
            <w:r>
              <w:rPr>
                <w:color w:val="231F20"/>
                <w:sz w:val="18"/>
                <w:szCs w:val="18"/>
              </w:rPr>
              <w:lastRenderedPageBreak/>
              <w:t xml:space="preserve">Середньодобовий ПАТ, мм рт.ст.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49,4 ± 2,8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49,8 ± 2,2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48,8 ± 2,9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52,4 ± 3,1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7"/>
              <w:rPr>
                <w:color w:val="231F20"/>
                <w:sz w:val="18"/>
                <w:szCs w:val="18"/>
              </w:rPr>
            </w:pPr>
            <w:r>
              <w:rPr>
                <w:color w:val="231F20"/>
                <w:sz w:val="18"/>
                <w:szCs w:val="18"/>
              </w:rPr>
              <w:t xml:space="preserve">Середньодобова ЧСС, уд/хв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68,2 ± 2,3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68,2 ± 2,3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70,5 ± 2,1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69,5 ± 2,2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02"/>
              <w:rPr>
                <w:color w:val="231F20"/>
                <w:sz w:val="18"/>
                <w:szCs w:val="18"/>
              </w:rPr>
            </w:pPr>
            <w:r>
              <w:rPr>
                <w:color w:val="231F20"/>
                <w:sz w:val="18"/>
                <w:szCs w:val="18"/>
              </w:rPr>
              <w:t xml:space="preserve">Мінімальний САТ, мм рт.ст.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99,7 ± 3,1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97,6 ± 2,7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95,6 ± 3,5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97,1 ± 3,0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02"/>
              <w:rPr>
                <w:color w:val="231F20"/>
                <w:sz w:val="18"/>
                <w:szCs w:val="18"/>
              </w:rPr>
            </w:pPr>
            <w:r>
              <w:rPr>
                <w:color w:val="231F20"/>
                <w:sz w:val="18"/>
                <w:szCs w:val="18"/>
              </w:rPr>
              <w:t xml:space="preserve">Мінімальний ДАТ, мм рт.ст.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58,6 ± 1,8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56,1 ± 2,4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53,3 ± 2,7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55,9 ± 2,7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4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22" w:lineRule="auto"/>
              <w:ind w:left="101" w:right="448" w:firstLine="1"/>
              <w:rPr>
                <w:color w:val="231F20"/>
                <w:sz w:val="18"/>
                <w:szCs w:val="18"/>
              </w:rPr>
            </w:pPr>
            <w:r>
              <w:rPr>
                <w:color w:val="231F20"/>
                <w:sz w:val="18"/>
                <w:szCs w:val="18"/>
              </w:rPr>
              <w:t xml:space="preserve">Мінімальний середній АТ, мм  рт.ст.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73,7 ± 2,0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73,2 ± 2,4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70,7 ± 2,7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69,9 ± 2,9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02"/>
              <w:rPr>
                <w:color w:val="231F20"/>
                <w:sz w:val="18"/>
                <w:szCs w:val="18"/>
              </w:rPr>
            </w:pPr>
            <w:r>
              <w:rPr>
                <w:color w:val="231F20"/>
                <w:sz w:val="18"/>
                <w:szCs w:val="18"/>
              </w:rPr>
              <w:t xml:space="preserve">Мінімальний ПАТ, мм рт.ст.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24,5 ± 0,9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24,4 ± 0,9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25,5 ± 1,2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26,8 ± 1,6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98"/>
        </w:trPr>
        <w:tc>
          <w:tcPr>
            <w:tcW w:w="30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02"/>
              <w:rPr>
                <w:color w:val="231F20"/>
                <w:sz w:val="18"/>
                <w:szCs w:val="18"/>
              </w:rPr>
            </w:pPr>
            <w:r>
              <w:rPr>
                <w:color w:val="231F20"/>
                <w:sz w:val="18"/>
                <w:szCs w:val="18"/>
              </w:rPr>
              <w:t xml:space="preserve">Мінімальна ЧСС, уд/хв </w:t>
            </w:r>
          </w:p>
        </w:tc>
        <w:tc>
          <w:tcPr>
            <w:tcW w:w="1462"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50,7 ± 1,5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51,6 ± 1,7 </w:t>
            </w:r>
          </w:p>
        </w:tc>
        <w:tc>
          <w:tcPr>
            <w:tcW w:w="140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53,9 ± 1,6 </w:t>
            </w:r>
          </w:p>
        </w:tc>
        <w:tc>
          <w:tcPr>
            <w:tcW w:w="137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54,1 ± 1,6 </w:t>
            </w:r>
          </w:p>
        </w:tc>
        <w:tc>
          <w:tcPr>
            <w:tcW w:w="90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bl>
    <w:p w:rsidR="00D607CD" w:rsidRDefault="00D607CD">
      <w:pPr>
        <w:widowControl w:val="0"/>
        <w:pBdr>
          <w:top w:val="nil"/>
          <w:left w:val="nil"/>
          <w:bottom w:val="nil"/>
          <w:right w:val="nil"/>
          <w:between w:val="nil"/>
        </w:pBdr>
        <w:rPr>
          <w:color w:val="000000"/>
        </w:rPr>
      </w:pPr>
    </w:p>
    <w:p w:rsidR="00D607CD" w:rsidRDefault="00D607CD">
      <w:pPr>
        <w:widowControl w:val="0"/>
        <w:pBdr>
          <w:top w:val="nil"/>
          <w:left w:val="nil"/>
          <w:bottom w:val="nil"/>
          <w:right w:val="nil"/>
          <w:between w:val="nil"/>
        </w:pBdr>
        <w:rPr>
          <w:color w:val="000000"/>
        </w:rPr>
      </w:pPr>
    </w:p>
    <w:p w:rsidR="00D607CD" w:rsidRDefault="001B586C">
      <w:pPr>
        <w:widowControl w:val="0"/>
        <w:pBdr>
          <w:top w:val="nil"/>
          <w:left w:val="nil"/>
          <w:bottom w:val="nil"/>
          <w:right w:val="nil"/>
          <w:between w:val="nil"/>
        </w:pBdr>
        <w:spacing w:line="222" w:lineRule="auto"/>
        <w:ind w:left="5" w:right="-11" w:firstLine="9"/>
        <w:jc w:val="both"/>
        <w:rPr>
          <w:b/>
          <w:i/>
          <w:color w:val="231F20"/>
          <w:sz w:val="18"/>
          <w:szCs w:val="18"/>
        </w:rPr>
      </w:pPr>
      <w:r>
        <w:rPr>
          <w:b/>
          <w:i/>
          <w:color w:val="231F20"/>
          <w:sz w:val="18"/>
          <w:szCs w:val="18"/>
        </w:rPr>
        <w:t>Примітки: САТ — систолічний артеріальний тиск, ДАТ — діастолічний артеріальний тиск, ПАТ — пульсовий  артеріальний тиск, ЧСС — частота серцевих скорочень, НД — не достовірно; 1 — різниця достовірна на  рівні p &lt; 0,05 в групі «Війна» проти групи «До війни»,</w:t>
      </w:r>
      <w:r>
        <w:rPr>
          <w:b/>
          <w:i/>
          <w:color w:val="231F20"/>
          <w:sz w:val="18"/>
          <w:szCs w:val="18"/>
        </w:rPr>
        <w:t xml:space="preserve"> 2 — різниця достовірна на рівні p &lt; 0,05 у групі «Війна»  проти групи «Ковід», 3 — різниця достовірна на рівні p &lt; 0,05 у групі «Війна» проти групи «Спокій», 4 — різ </w:t>
      </w:r>
    </w:p>
    <w:p w:rsidR="00D607CD" w:rsidRDefault="001B586C">
      <w:pPr>
        <w:widowControl w:val="0"/>
        <w:pBdr>
          <w:top w:val="nil"/>
          <w:left w:val="nil"/>
          <w:bottom w:val="nil"/>
          <w:right w:val="nil"/>
          <w:between w:val="nil"/>
        </w:pBdr>
        <w:spacing w:before="3" w:line="222" w:lineRule="auto"/>
        <w:ind w:left="5" w:right="-11" w:firstLine="7"/>
        <w:jc w:val="both"/>
        <w:rPr>
          <w:b/>
          <w:i/>
          <w:color w:val="231F20"/>
          <w:sz w:val="18"/>
          <w:szCs w:val="18"/>
        </w:rPr>
      </w:pPr>
      <w:r>
        <w:rPr>
          <w:b/>
          <w:i/>
          <w:color w:val="231F20"/>
          <w:sz w:val="18"/>
          <w:szCs w:val="18"/>
        </w:rPr>
        <w:t>ниця достовірна на рівні p &lt; 0,05 у групі «До війни» проти групи «Ковід», 5 — різниця до</w:t>
      </w:r>
      <w:r>
        <w:rPr>
          <w:b/>
          <w:i/>
          <w:color w:val="231F20"/>
          <w:sz w:val="18"/>
          <w:szCs w:val="18"/>
        </w:rPr>
        <w:t xml:space="preserve">стовірна на рівні  p &lt; 0,05 у групі «До війни» проти групи «Спокій», 6 — різниця достовірна на рівні p &lt; 0,05 у групі «Ковід»  проти групи «Спокій». Достовірність на рівні р &lt; 0,05 для всіх груп. </w:t>
      </w:r>
    </w:p>
    <w:p w:rsidR="00D607CD" w:rsidRDefault="001B586C">
      <w:pPr>
        <w:widowControl w:val="0"/>
        <w:pBdr>
          <w:top w:val="nil"/>
          <w:left w:val="nil"/>
          <w:bottom w:val="nil"/>
          <w:right w:val="nil"/>
          <w:between w:val="nil"/>
        </w:pBdr>
        <w:spacing w:before="336" w:line="240" w:lineRule="auto"/>
        <w:jc w:val="center"/>
        <w:rPr>
          <w:color w:val="231F20"/>
          <w:sz w:val="18"/>
          <w:szCs w:val="18"/>
        </w:rPr>
      </w:pPr>
      <w:r>
        <w:rPr>
          <w:b/>
          <w:color w:val="231F20"/>
          <w:sz w:val="20"/>
          <w:szCs w:val="20"/>
        </w:rPr>
        <w:t xml:space="preserve">46 </w:t>
      </w:r>
      <w:r>
        <w:rPr>
          <w:color w:val="231F20"/>
          <w:sz w:val="19"/>
          <w:szCs w:val="19"/>
        </w:rPr>
        <w:t xml:space="preserve">Àðòåðiàëüíà ãiïåðòåíçiÿ, </w:t>
      </w:r>
      <w:r>
        <w:rPr>
          <w:color w:val="231F20"/>
          <w:sz w:val="15"/>
          <w:szCs w:val="15"/>
        </w:rPr>
        <w:t>ISSN 2224-1485 (print), ISSN 23</w:t>
      </w:r>
      <w:r>
        <w:rPr>
          <w:color w:val="231F20"/>
          <w:sz w:val="15"/>
          <w:szCs w:val="15"/>
        </w:rPr>
        <w:t xml:space="preserve">07-1095 (online) </w:t>
      </w:r>
      <w:r>
        <w:rPr>
          <w:color w:val="231F20"/>
          <w:sz w:val="18"/>
          <w:szCs w:val="18"/>
        </w:rPr>
        <w:t xml:space="preserve">Том 16, N¹ 1–2, 2023 </w:t>
      </w:r>
    </w:p>
    <w:p w:rsidR="00D607CD" w:rsidRDefault="001B586C">
      <w:pPr>
        <w:widowControl w:val="0"/>
        <w:pBdr>
          <w:top w:val="nil"/>
          <w:left w:val="nil"/>
          <w:bottom w:val="nil"/>
          <w:right w:val="nil"/>
          <w:between w:val="nil"/>
        </w:pBdr>
        <w:spacing w:line="240" w:lineRule="auto"/>
        <w:ind w:right="1846"/>
        <w:jc w:val="right"/>
        <w:rPr>
          <w:b/>
          <w:color w:val="FFFFFF"/>
          <w:sz w:val="20"/>
          <w:szCs w:val="20"/>
        </w:rPr>
      </w:pPr>
      <w:r>
        <w:rPr>
          <w:b/>
          <w:color w:val="FFFFFF"/>
          <w:sz w:val="20"/>
          <w:szCs w:val="20"/>
        </w:rPr>
        <w:t xml:space="preserve">КЛІНІЧНІ ДОСЛІДЖЕННЯ / CLINICIAL RESEARCHES </w:t>
      </w:r>
    </w:p>
    <w:p w:rsidR="00D607CD" w:rsidRDefault="001B586C">
      <w:pPr>
        <w:widowControl w:val="0"/>
        <w:pBdr>
          <w:top w:val="nil"/>
          <w:left w:val="nil"/>
          <w:bottom w:val="nil"/>
          <w:right w:val="nil"/>
          <w:between w:val="nil"/>
        </w:pBdr>
        <w:spacing w:before="307" w:line="240" w:lineRule="auto"/>
        <w:jc w:val="center"/>
        <w:rPr>
          <w:b/>
          <w:i/>
          <w:color w:val="231F20"/>
          <w:sz w:val="18"/>
          <w:szCs w:val="18"/>
        </w:rPr>
      </w:pPr>
      <w:r>
        <w:rPr>
          <w:b/>
          <w:i/>
          <w:color w:val="231F20"/>
          <w:sz w:val="18"/>
          <w:szCs w:val="18"/>
        </w:rPr>
        <w:t xml:space="preserve">Таблиця 3. Додаткові дані ДМАТ </w:t>
      </w:r>
    </w:p>
    <w:tbl>
      <w:tblPr>
        <w:tblStyle w:val="a7"/>
        <w:tblW w:w="9684" w:type="dxa"/>
        <w:tblInd w:w="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1383"/>
        <w:gridCol w:w="1457"/>
        <w:gridCol w:w="1360"/>
        <w:gridCol w:w="1326"/>
        <w:gridCol w:w="1038"/>
      </w:tblGrid>
      <w:tr w:rsidR="00D607CD">
        <w:trPr>
          <w:trHeight w:val="457"/>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Показники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Війна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До війни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Ковід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Спокій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Р</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6"/>
              <w:rPr>
                <w:color w:val="231F20"/>
                <w:sz w:val="18"/>
                <w:szCs w:val="18"/>
              </w:rPr>
            </w:pPr>
            <w:r>
              <w:rPr>
                <w:color w:val="231F20"/>
                <w:sz w:val="18"/>
                <w:szCs w:val="18"/>
              </w:rPr>
              <w:t xml:space="preserve">СВ САТ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16,0 ± 0,9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19,8 ± 1,1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16,2 ± 0,7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17,1 ± 0,9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1, 4</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6"/>
              <w:rPr>
                <w:color w:val="231F20"/>
                <w:sz w:val="18"/>
                <w:szCs w:val="18"/>
              </w:rPr>
            </w:pPr>
            <w:r>
              <w:rPr>
                <w:color w:val="231F20"/>
                <w:sz w:val="18"/>
                <w:szCs w:val="18"/>
              </w:rPr>
              <w:t xml:space="preserve">СВ ДАТ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11,7 ± 0,6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14,2 ± 0,7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11,8 ± 0,7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12,1 ± 0,5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1, 4, 5</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6"/>
              <w:rPr>
                <w:color w:val="231F20"/>
                <w:sz w:val="18"/>
                <w:szCs w:val="18"/>
              </w:rPr>
            </w:pPr>
            <w:r>
              <w:rPr>
                <w:color w:val="231F20"/>
                <w:sz w:val="18"/>
                <w:szCs w:val="18"/>
              </w:rPr>
              <w:t xml:space="preserve">СВ середнього 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14,0 ± 0,7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15,9 ± 0,7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13,8 ± 0,7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14,8 ± 0,8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4</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6"/>
              <w:rPr>
                <w:color w:val="231F20"/>
                <w:sz w:val="18"/>
                <w:szCs w:val="18"/>
              </w:rPr>
            </w:pPr>
            <w:r>
              <w:rPr>
                <w:color w:val="231F20"/>
                <w:sz w:val="18"/>
                <w:szCs w:val="18"/>
              </w:rPr>
              <w:t xml:space="preserve">СВ ПАТ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11,9 ± 0,7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12,6 ± 0,6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11,8 ± 0,6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12,5 ± 0,6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6"/>
              <w:rPr>
                <w:color w:val="231F20"/>
                <w:sz w:val="18"/>
                <w:szCs w:val="18"/>
              </w:rPr>
            </w:pPr>
            <w:r>
              <w:rPr>
                <w:color w:val="231F20"/>
                <w:sz w:val="18"/>
                <w:szCs w:val="18"/>
              </w:rPr>
              <w:t xml:space="preserve">СВ ЧСС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9,2 ± 0,7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10,5 ± 0,7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10,0 ± 0,8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8,9 ± 0,7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6"/>
              <w:rPr>
                <w:color w:val="231F20"/>
                <w:sz w:val="18"/>
                <w:szCs w:val="18"/>
              </w:rPr>
            </w:pPr>
            <w:r>
              <w:rPr>
                <w:color w:val="231F20"/>
                <w:sz w:val="18"/>
                <w:szCs w:val="18"/>
              </w:rPr>
              <w:t xml:space="preserve">Середній САТ удень, мм рт.ст.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135,6 ± 4,5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138,3 ± 3,6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133,9 ± 4,5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137,8 ± 3,5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6"/>
              <w:rPr>
                <w:color w:val="231F20"/>
                <w:sz w:val="18"/>
                <w:szCs w:val="18"/>
              </w:rPr>
            </w:pPr>
            <w:r>
              <w:rPr>
                <w:color w:val="231F20"/>
                <w:sz w:val="18"/>
                <w:szCs w:val="18"/>
              </w:rPr>
              <w:t xml:space="preserve">Середній ДАТ удень, мм рт.ст.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85,6 ± 2,5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87,6 ± 2,8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84,5 ± 3,3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84,1 ± 2,9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6"/>
              <w:rPr>
                <w:color w:val="231F20"/>
                <w:sz w:val="18"/>
                <w:szCs w:val="18"/>
              </w:rPr>
            </w:pPr>
            <w:r>
              <w:rPr>
                <w:color w:val="231F20"/>
                <w:sz w:val="18"/>
                <w:szCs w:val="18"/>
              </w:rPr>
              <w:t xml:space="preserve">Середня ЧСС удень, мм рт.ст.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70,4 ± 2,5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70,8 ± 2,5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72,7 ± 2,3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71,5 ± 2,3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6"/>
              <w:rPr>
                <w:color w:val="231F20"/>
                <w:sz w:val="18"/>
                <w:szCs w:val="18"/>
              </w:rPr>
            </w:pPr>
            <w:r>
              <w:rPr>
                <w:color w:val="231F20"/>
                <w:sz w:val="18"/>
                <w:szCs w:val="18"/>
              </w:rPr>
              <w:t xml:space="preserve">Середній САТ уночі, мм рт.ст.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124,9 ± 4,1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119,2 ± 3,3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118,1 ± 4,4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121,1 ± 3,8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6"/>
              <w:rPr>
                <w:color w:val="231F20"/>
                <w:sz w:val="18"/>
                <w:szCs w:val="18"/>
              </w:rPr>
            </w:pPr>
            <w:r>
              <w:rPr>
                <w:color w:val="231F20"/>
                <w:sz w:val="18"/>
                <w:szCs w:val="18"/>
              </w:rPr>
              <w:t xml:space="preserve">Середній ДАТ уночі, мм рт.ст.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76,9 ± 2,3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72,5 ± 2,9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71,2 ± 3,0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72,4 ± 2,9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6"/>
              <w:rPr>
                <w:color w:val="231F20"/>
                <w:sz w:val="18"/>
                <w:szCs w:val="18"/>
              </w:rPr>
            </w:pPr>
            <w:r>
              <w:rPr>
                <w:color w:val="231F20"/>
                <w:sz w:val="18"/>
                <w:szCs w:val="18"/>
              </w:rPr>
              <w:t xml:space="preserve">Середня ЧСС уночі, мм рт.ст.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61,4 ± 1,8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60,5 ± 2,0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62,0 ± 1,6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63,2 ± 2,0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1"/>
              <w:rPr>
                <w:color w:val="231F20"/>
                <w:sz w:val="18"/>
                <w:szCs w:val="18"/>
              </w:rPr>
            </w:pPr>
            <w:r>
              <w:rPr>
                <w:color w:val="231F20"/>
                <w:sz w:val="18"/>
                <w:szCs w:val="18"/>
              </w:rPr>
              <w:t xml:space="preserve">Індекс площі гіпертензії САТ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161,6 ± 50,8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165,0 ± 35,8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165,6 ± 50,6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156,1 ± 38,0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1"/>
              <w:rPr>
                <w:color w:val="231F20"/>
                <w:sz w:val="18"/>
                <w:szCs w:val="18"/>
              </w:rPr>
            </w:pPr>
            <w:r>
              <w:rPr>
                <w:color w:val="231F20"/>
                <w:sz w:val="18"/>
                <w:szCs w:val="18"/>
              </w:rPr>
              <w:t xml:space="preserve">Індекс часу гіпертензії САТ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39,0 ± 7,8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41,9 ± 6,6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38,5 ± 8,3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43,8 ± 7,2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1"/>
              <w:rPr>
                <w:color w:val="231F20"/>
                <w:sz w:val="18"/>
                <w:szCs w:val="18"/>
              </w:rPr>
            </w:pPr>
            <w:r>
              <w:rPr>
                <w:color w:val="231F20"/>
                <w:sz w:val="18"/>
                <w:szCs w:val="18"/>
              </w:rPr>
              <w:lastRenderedPageBreak/>
              <w:t xml:space="preserve">Індекс площі гіпотензії САТ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2,1 ± 1,1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3,9 ± 2,9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6,0 ± 2,9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2,4 ± 1,3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4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22" w:lineRule="auto"/>
              <w:ind w:left="89" w:right="470" w:firstLine="1"/>
              <w:rPr>
                <w:color w:val="231F20"/>
                <w:sz w:val="18"/>
                <w:szCs w:val="18"/>
              </w:rPr>
            </w:pPr>
            <w:r>
              <w:rPr>
                <w:color w:val="231F20"/>
                <w:sz w:val="18"/>
                <w:szCs w:val="18"/>
              </w:rPr>
              <w:t xml:space="preserve">Нормалізований індекс площі  гіпотензії САТ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0,100 ± 0,001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0,2 ± 0,2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0,2 ± 0,1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0,100 ± 0,001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0"/>
              <w:rPr>
                <w:color w:val="231F20"/>
                <w:sz w:val="18"/>
                <w:szCs w:val="18"/>
              </w:rPr>
            </w:pPr>
            <w:r>
              <w:rPr>
                <w:color w:val="231F20"/>
                <w:sz w:val="18"/>
                <w:szCs w:val="18"/>
              </w:rPr>
              <w:t xml:space="preserve">Амплітуда САТ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11,7 ± 0,8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17,5 ± 1,3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13,1 ± 1,4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12,4 ± 0,9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1, 3, 4, 5</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0"/>
              <w:rPr>
                <w:color w:val="231F20"/>
                <w:sz w:val="18"/>
                <w:szCs w:val="18"/>
              </w:rPr>
            </w:pPr>
            <w:r>
              <w:rPr>
                <w:color w:val="231F20"/>
                <w:sz w:val="18"/>
                <w:szCs w:val="18"/>
              </w:rPr>
              <w:t xml:space="preserve">Амплітуда ДАТ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7,5 ± 0,7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13,4 ± 1,3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10,1 ± 0,9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8,5 ± 0,8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1, 2, 4, 5</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80"/>
              <w:rPr>
                <w:color w:val="231F20"/>
                <w:sz w:val="18"/>
                <w:szCs w:val="18"/>
              </w:rPr>
            </w:pPr>
            <w:r>
              <w:rPr>
                <w:color w:val="231F20"/>
                <w:sz w:val="18"/>
                <w:szCs w:val="18"/>
              </w:rPr>
              <w:t xml:space="preserve">Амплітуда середнього 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8,5 ± 1,0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15,1 ± 1,1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10,9 ± 1,2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11,3 ± 0,8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1, 4, 5</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1"/>
              <w:rPr>
                <w:color w:val="231F20"/>
                <w:sz w:val="18"/>
                <w:szCs w:val="18"/>
              </w:rPr>
            </w:pPr>
            <w:r>
              <w:rPr>
                <w:color w:val="231F20"/>
                <w:sz w:val="18"/>
                <w:szCs w:val="18"/>
              </w:rPr>
              <w:t xml:space="preserve">Вранішній підйом за Каріо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28,3 ± 4,5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28,8 ± 3,9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19,6 ± 2,2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25,9 ± 2,9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4</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Величина вранішнього підйому АТ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48,5 ± 4,5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62,7 ± 6,6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54,2 ± 6,7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54,3 ± 4,0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2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1"/>
              <w:rPr>
                <w:color w:val="231F20"/>
                <w:sz w:val="18"/>
                <w:szCs w:val="18"/>
              </w:rPr>
            </w:pPr>
            <w:r>
              <w:rPr>
                <w:color w:val="231F20"/>
                <w:sz w:val="18"/>
                <w:szCs w:val="18"/>
              </w:rPr>
              <w:t xml:space="preserve">Швидкість вранішнього підйому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36,4 ± 9,5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18,6 ± 2,3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23,4 ± 6,0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28,9 ± 7,0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НД</w:t>
            </w:r>
          </w:p>
        </w:tc>
      </w:tr>
      <w:tr w:rsidR="00D607CD">
        <w:trPr>
          <w:trHeight w:val="476"/>
        </w:trPr>
        <w:tc>
          <w:tcPr>
            <w:tcW w:w="311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22" w:lineRule="auto"/>
              <w:ind w:left="89" w:right="108" w:firstLine="1"/>
              <w:rPr>
                <w:color w:val="231F20"/>
                <w:sz w:val="18"/>
                <w:szCs w:val="18"/>
              </w:rPr>
            </w:pPr>
            <w:r>
              <w:rPr>
                <w:color w:val="231F20"/>
                <w:sz w:val="18"/>
                <w:szCs w:val="18"/>
              </w:rPr>
              <w:t xml:space="preserve">Максимальний рівень САТ уранці,  мм рт.ст. </w:t>
            </w:r>
          </w:p>
        </w:tc>
        <w:tc>
          <w:tcPr>
            <w:tcW w:w="1383"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158,9 ± 6,3 </w:t>
            </w:r>
          </w:p>
        </w:tc>
        <w:tc>
          <w:tcPr>
            <w:tcW w:w="1457"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179,9 ± 7,5 </w:t>
            </w:r>
          </w:p>
        </w:tc>
        <w:tc>
          <w:tcPr>
            <w:tcW w:w="1360"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159,4 ± 6,3 </w:t>
            </w:r>
          </w:p>
        </w:tc>
        <w:tc>
          <w:tcPr>
            <w:tcW w:w="1326"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166,3 ± 5,7 </w:t>
            </w:r>
          </w:p>
        </w:tc>
        <w:tc>
          <w:tcPr>
            <w:tcW w:w="1038"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1, 4</w:t>
            </w:r>
          </w:p>
        </w:tc>
      </w:tr>
    </w:tbl>
    <w:p w:rsidR="00D607CD" w:rsidRDefault="00D607CD">
      <w:pPr>
        <w:widowControl w:val="0"/>
        <w:pBdr>
          <w:top w:val="nil"/>
          <w:left w:val="nil"/>
          <w:bottom w:val="nil"/>
          <w:right w:val="nil"/>
          <w:between w:val="nil"/>
        </w:pBdr>
        <w:rPr>
          <w:color w:val="000000"/>
        </w:rPr>
      </w:pPr>
    </w:p>
    <w:p w:rsidR="00D607CD" w:rsidRDefault="00D607CD">
      <w:pPr>
        <w:widowControl w:val="0"/>
        <w:pBdr>
          <w:top w:val="nil"/>
          <w:left w:val="nil"/>
          <w:bottom w:val="nil"/>
          <w:right w:val="nil"/>
          <w:between w:val="nil"/>
        </w:pBdr>
        <w:rPr>
          <w:color w:val="000000"/>
        </w:rPr>
      </w:pPr>
    </w:p>
    <w:p w:rsidR="00D607CD" w:rsidRDefault="001B586C">
      <w:pPr>
        <w:widowControl w:val="0"/>
        <w:pBdr>
          <w:top w:val="nil"/>
          <w:left w:val="nil"/>
          <w:bottom w:val="nil"/>
          <w:right w:val="nil"/>
          <w:between w:val="nil"/>
        </w:pBdr>
        <w:spacing w:line="222" w:lineRule="auto"/>
        <w:ind w:left="5" w:right="-11" w:firstLine="9"/>
        <w:jc w:val="both"/>
        <w:rPr>
          <w:b/>
          <w:i/>
          <w:color w:val="231F20"/>
          <w:sz w:val="18"/>
          <w:szCs w:val="18"/>
        </w:rPr>
      </w:pPr>
      <w:r>
        <w:rPr>
          <w:b/>
          <w:i/>
          <w:color w:val="231F20"/>
          <w:sz w:val="18"/>
          <w:szCs w:val="18"/>
        </w:rPr>
        <w:t>Примітки: САТ — систолічний артеріальний тиск, ДАТ — діастолічний артеріальний тиск, ПАТ — пульсовий  артеріальний тиск, ЧСС — частота серцевих скорочень, НД — не достовірно; 1 — різниця достовірна на  рівні p &lt; 0,05 в групі «Війна» проти групи «До війни»,</w:t>
      </w:r>
      <w:r>
        <w:rPr>
          <w:b/>
          <w:i/>
          <w:color w:val="231F20"/>
          <w:sz w:val="18"/>
          <w:szCs w:val="18"/>
        </w:rPr>
        <w:t xml:space="preserve"> 2 — різниця достовірна на рівні p &lt; 0,05 у групі «Війна»  проти групи «Ковід», 3 — різниця достовірна на рівні p &lt; 0,05 у групі «Війна» проти групи «Спокій», 4 — різ </w:t>
      </w:r>
    </w:p>
    <w:p w:rsidR="00D607CD" w:rsidRDefault="001B586C">
      <w:pPr>
        <w:widowControl w:val="0"/>
        <w:pBdr>
          <w:top w:val="nil"/>
          <w:left w:val="nil"/>
          <w:bottom w:val="nil"/>
          <w:right w:val="nil"/>
          <w:between w:val="nil"/>
        </w:pBdr>
        <w:spacing w:before="3" w:line="222" w:lineRule="auto"/>
        <w:ind w:left="5" w:right="-11" w:firstLine="7"/>
        <w:jc w:val="both"/>
        <w:rPr>
          <w:b/>
          <w:i/>
          <w:color w:val="231F20"/>
          <w:sz w:val="18"/>
          <w:szCs w:val="18"/>
        </w:rPr>
      </w:pPr>
      <w:r>
        <w:rPr>
          <w:b/>
          <w:i/>
          <w:color w:val="231F20"/>
          <w:sz w:val="18"/>
          <w:szCs w:val="18"/>
        </w:rPr>
        <w:t>ниця достовірна на рівні p &lt; 0,05 у групі «До війни» проти групи «Ковід», 5 — різниця достовірна на рівні  p &lt; 0,05 у групі «До війни» проти групи «Спокій», 6 — різниця достовірна на рівні p &lt; 0,05 у групі «Ковід»  проти групи «Спокій». Достовірність на рі</w:t>
      </w:r>
      <w:r>
        <w:rPr>
          <w:b/>
          <w:i/>
          <w:color w:val="231F20"/>
          <w:sz w:val="18"/>
          <w:szCs w:val="18"/>
        </w:rPr>
        <w:t xml:space="preserve">вні р &lt; 0,05 для всіх груп. </w:t>
      </w:r>
    </w:p>
    <w:p w:rsidR="00D607CD" w:rsidRDefault="001B586C">
      <w:pPr>
        <w:widowControl w:val="0"/>
        <w:pBdr>
          <w:top w:val="nil"/>
          <w:left w:val="nil"/>
          <w:bottom w:val="nil"/>
          <w:right w:val="nil"/>
          <w:between w:val="nil"/>
        </w:pBdr>
        <w:spacing w:before="230" w:line="240" w:lineRule="auto"/>
        <w:jc w:val="center"/>
        <w:rPr>
          <w:b/>
          <w:i/>
          <w:color w:val="231F20"/>
          <w:sz w:val="18"/>
          <w:szCs w:val="18"/>
        </w:rPr>
      </w:pPr>
      <w:r>
        <w:rPr>
          <w:b/>
          <w:i/>
          <w:color w:val="231F20"/>
          <w:sz w:val="18"/>
          <w:szCs w:val="18"/>
        </w:rPr>
        <w:t xml:space="preserve">Таблиця 4. Статус нічного зниження АТ за даними ДМАТ (%) </w:t>
      </w:r>
    </w:p>
    <w:tbl>
      <w:tblPr>
        <w:tblStyle w:val="a8"/>
        <w:tblW w:w="9694" w:type="dxa"/>
        <w:tblInd w:w="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15"/>
        <w:gridCol w:w="1615"/>
        <w:gridCol w:w="1616"/>
        <w:gridCol w:w="1616"/>
        <w:gridCol w:w="1616"/>
        <w:gridCol w:w="1616"/>
      </w:tblGrid>
      <w:tr w:rsidR="00D607CD">
        <w:trPr>
          <w:trHeight w:val="498"/>
        </w:trPr>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Статус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Війна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До війни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Ковід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b/>
                <w:color w:val="231F20"/>
                <w:sz w:val="18"/>
                <w:szCs w:val="18"/>
              </w:rPr>
            </w:pPr>
            <w:r>
              <w:rPr>
                <w:b/>
                <w:color w:val="231F20"/>
                <w:sz w:val="18"/>
                <w:szCs w:val="18"/>
              </w:rPr>
              <w:t xml:space="preserve">Спокій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22" w:lineRule="auto"/>
              <w:ind w:left="184" w:right="118" w:firstLine="9"/>
              <w:rPr>
                <w:b/>
                <w:color w:val="231F20"/>
                <w:sz w:val="18"/>
                <w:szCs w:val="18"/>
              </w:rPr>
            </w:pPr>
            <w:r>
              <w:rPr>
                <w:b/>
                <w:color w:val="231F20"/>
                <w:sz w:val="18"/>
                <w:szCs w:val="18"/>
              </w:rPr>
              <w:t>Достовірність  різниці частот</w:t>
            </w:r>
          </w:p>
        </w:tc>
      </w:tr>
      <w:tr w:rsidR="00D607CD">
        <w:trPr>
          <w:trHeight w:val="298"/>
        </w:trPr>
        <w:tc>
          <w:tcPr>
            <w:tcW w:w="9690" w:type="dxa"/>
            <w:gridSpan w:val="6"/>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i/>
                <w:color w:val="231F20"/>
                <w:sz w:val="18"/>
                <w:szCs w:val="18"/>
              </w:rPr>
            </w:pPr>
            <w:r>
              <w:rPr>
                <w:i/>
                <w:color w:val="231F20"/>
                <w:sz w:val="18"/>
                <w:szCs w:val="18"/>
              </w:rPr>
              <w:t>Зниження САТ</w:t>
            </w:r>
          </w:p>
        </w:tc>
      </w:tr>
      <w:tr w:rsidR="00D607CD">
        <w:trPr>
          <w:trHeight w:val="298"/>
        </w:trPr>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2"/>
              <w:rPr>
                <w:color w:val="231F20"/>
                <w:sz w:val="18"/>
                <w:szCs w:val="18"/>
              </w:rPr>
            </w:pPr>
            <w:r>
              <w:rPr>
                <w:color w:val="231F20"/>
                <w:sz w:val="18"/>
                <w:szCs w:val="18"/>
              </w:rPr>
              <w:t xml:space="preserve">Дипер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75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75</w:t>
            </w:r>
          </w:p>
        </w:tc>
        <w:tc>
          <w:tcPr>
            <w:tcW w:w="1615" w:type="dxa"/>
            <w:vMerge w:val="restart"/>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1, 2, 3, 4 </w:t>
            </w:r>
          </w:p>
        </w:tc>
      </w:tr>
      <w:tr w:rsidR="00D607CD">
        <w:trPr>
          <w:trHeight w:val="298"/>
        </w:trPr>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02"/>
              <w:rPr>
                <w:color w:val="231F20"/>
                <w:sz w:val="18"/>
                <w:szCs w:val="18"/>
              </w:rPr>
            </w:pPr>
            <w:r>
              <w:rPr>
                <w:color w:val="231F20"/>
                <w:sz w:val="18"/>
                <w:szCs w:val="18"/>
              </w:rPr>
              <w:t xml:space="preserve">Нон-дипер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10</w:t>
            </w:r>
          </w:p>
        </w:tc>
        <w:tc>
          <w:tcPr>
            <w:tcW w:w="1615" w:type="dxa"/>
            <w:vMerge/>
            <w:shd w:val="clear" w:color="auto" w:fill="auto"/>
            <w:tcMar>
              <w:top w:w="100" w:type="dxa"/>
              <w:left w:w="100" w:type="dxa"/>
              <w:bottom w:w="100" w:type="dxa"/>
              <w:right w:w="100" w:type="dxa"/>
            </w:tcMar>
          </w:tcPr>
          <w:p w:rsidR="00D607CD" w:rsidRDefault="00D607CD">
            <w:pPr>
              <w:widowControl w:val="0"/>
              <w:pBdr>
                <w:top w:val="nil"/>
                <w:left w:val="nil"/>
                <w:bottom w:val="nil"/>
                <w:right w:val="nil"/>
                <w:between w:val="nil"/>
              </w:pBdr>
              <w:rPr>
                <w:color w:val="231F20"/>
                <w:sz w:val="18"/>
                <w:szCs w:val="18"/>
              </w:rPr>
            </w:pPr>
          </w:p>
        </w:tc>
      </w:tr>
      <w:tr w:rsidR="00D607CD">
        <w:trPr>
          <w:trHeight w:val="298"/>
        </w:trPr>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02"/>
              <w:rPr>
                <w:color w:val="231F20"/>
                <w:sz w:val="18"/>
                <w:szCs w:val="18"/>
              </w:rPr>
            </w:pPr>
            <w:r>
              <w:rPr>
                <w:color w:val="231F20"/>
                <w:sz w:val="18"/>
                <w:szCs w:val="18"/>
              </w:rPr>
              <w:t xml:space="preserve">Найт-пікер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5</w:t>
            </w:r>
          </w:p>
        </w:tc>
        <w:tc>
          <w:tcPr>
            <w:tcW w:w="1615" w:type="dxa"/>
            <w:vMerge/>
            <w:shd w:val="clear" w:color="auto" w:fill="auto"/>
            <w:tcMar>
              <w:top w:w="100" w:type="dxa"/>
              <w:left w:w="100" w:type="dxa"/>
              <w:bottom w:w="100" w:type="dxa"/>
              <w:right w:w="100" w:type="dxa"/>
            </w:tcMar>
          </w:tcPr>
          <w:p w:rsidR="00D607CD" w:rsidRDefault="00D607CD">
            <w:pPr>
              <w:widowControl w:val="0"/>
              <w:pBdr>
                <w:top w:val="nil"/>
                <w:left w:val="nil"/>
                <w:bottom w:val="nil"/>
                <w:right w:val="nil"/>
                <w:between w:val="nil"/>
              </w:pBdr>
              <w:rPr>
                <w:color w:val="231F20"/>
                <w:sz w:val="18"/>
                <w:szCs w:val="18"/>
              </w:rPr>
            </w:pPr>
          </w:p>
        </w:tc>
      </w:tr>
      <w:tr w:rsidR="00D607CD">
        <w:trPr>
          <w:trHeight w:val="298"/>
        </w:trPr>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02"/>
              <w:rPr>
                <w:color w:val="231F20"/>
                <w:sz w:val="18"/>
                <w:szCs w:val="18"/>
              </w:rPr>
            </w:pPr>
            <w:r>
              <w:rPr>
                <w:color w:val="231F20"/>
                <w:sz w:val="18"/>
                <w:szCs w:val="18"/>
              </w:rPr>
              <w:t xml:space="preserve">Гіпердипер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10</w:t>
            </w:r>
          </w:p>
        </w:tc>
        <w:tc>
          <w:tcPr>
            <w:tcW w:w="1615" w:type="dxa"/>
            <w:vMerge/>
            <w:shd w:val="clear" w:color="auto" w:fill="auto"/>
            <w:tcMar>
              <w:top w:w="100" w:type="dxa"/>
              <w:left w:w="100" w:type="dxa"/>
              <w:bottom w:w="100" w:type="dxa"/>
              <w:right w:w="100" w:type="dxa"/>
            </w:tcMar>
          </w:tcPr>
          <w:p w:rsidR="00D607CD" w:rsidRDefault="00D607CD">
            <w:pPr>
              <w:widowControl w:val="0"/>
              <w:pBdr>
                <w:top w:val="nil"/>
                <w:left w:val="nil"/>
                <w:bottom w:val="nil"/>
                <w:right w:val="nil"/>
                <w:between w:val="nil"/>
              </w:pBdr>
              <w:rPr>
                <w:color w:val="231F20"/>
                <w:sz w:val="18"/>
                <w:szCs w:val="18"/>
              </w:rPr>
            </w:pPr>
          </w:p>
        </w:tc>
      </w:tr>
      <w:tr w:rsidR="00D607CD">
        <w:trPr>
          <w:trHeight w:val="298"/>
        </w:trPr>
        <w:tc>
          <w:tcPr>
            <w:tcW w:w="9690" w:type="dxa"/>
            <w:gridSpan w:val="6"/>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i/>
                <w:color w:val="231F20"/>
                <w:sz w:val="18"/>
                <w:szCs w:val="18"/>
              </w:rPr>
            </w:pPr>
            <w:r>
              <w:rPr>
                <w:i/>
                <w:color w:val="231F20"/>
                <w:sz w:val="18"/>
                <w:szCs w:val="18"/>
              </w:rPr>
              <w:t>Зниження ДАТ</w:t>
            </w:r>
          </w:p>
        </w:tc>
      </w:tr>
      <w:tr w:rsidR="00D607CD">
        <w:trPr>
          <w:trHeight w:val="298"/>
        </w:trPr>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92"/>
              <w:rPr>
                <w:color w:val="231F20"/>
                <w:sz w:val="18"/>
                <w:szCs w:val="18"/>
              </w:rPr>
            </w:pPr>
            <w:r>
              <w:rPr>
                <w:color w:val="231F20"/>
                <w:sz w:val="18"/>
                <w:szCs w:val="18"/>
              </w:rPr>
              <w:t xml:space="preserve">Дипер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65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55</w:t>
            </w:r>
          </w:p>
        </w:tc>
        <w:tc>
          <w:tcPr>
            <w:tcW w:w="1615" w:type="dxa"/>
            <w:vMerge w:val="restart"/>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1, 2, 3, 4, 5 </w:t>
            </w:r>
          </w:p>
        </w:tc>
      </w:tr>
      <w:tr w:rsidR="00D607CD">
        <w:trPr>
          <w:trHeight w:val="298"/>
        </w:trPr>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02"/>
              <w:rPr>
                <w:color w:val="231F20"/>
                <w:sz w:val="18"/>
                <w:szCs w:val="18"/>
              </w:rPr>
            </w:pPr>
            <w:r>
              <w:rPr>
                <w:color w:val="231F20"/>
                <w:sz w:val="18"/>
                <w:szCs w:val="18"/>
              </w:rPr>
              <w:t xml:space="preserve">Нон-дипер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45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20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25</w:t>
            </w:r>
          </w:p>
        </w:tc>
        <w:tc>
          <w:tcPr>
            <w:tcW w:w="1615" w:type="dxa"/>
            <w:vMerge/>
            <w:shd w:val="clear" w:color="auto" w:fill="auto"/>
            <w:tcMar>
              <w:top w:w="100" w:type="dxa"/>
              <w:left w:w="100" w:type="dxa"/>
              <w:bottom w:w="100" w:type="dxa"/>
              <w:right w:w="100" w:type="dxa"/>
            </w:tcMar>
          </w:tcPr>
          <w:p w:rsidR="00D607CD" w:rsidRDefault="00D607CD">
            <w:pPr>
              <w:widowControl w:val="0"/>
              <w:pBdr>
                <w:top w:val="nil"/>
                <w:left w:val="nil"/>
                <w:bottom w:val="nil"/>
                <w:right w:val="nil"/>
                <w:between w:val="nil"/>
              </w:pBdr>
              <w:rPr>
                <w:color w:val="231F20"/>
                <w:sz w:val="18"/>
                <w:szCs w:val="18"/>
              </w:rPr>
            </w:pPr>
          </w:p>
        </w:tc>
      </w:tr>
      <w:tr w:rsidR="00D607CD">
        <w:trPr>
          <w:trHeight w:val="298"/>
        </w:trPr>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02"/>
              <w:rPr>
                <w:color w:val="231F20"/>
                <w:sz w:val="18"/>
                <w:szCs w:val="18"/>
              </w:rPr>
            </w:pPr>
            <w:r>
              <w:rPr>
                <w:color w:val="231F20"/>
                <w:sz w:val="18"/>
                <w:szCs w:val="18"/>
              </w:rPr>
              <w:t xml:space="preserve">Найт-пікер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0</w:t>
            </w:r>
          </w:p>
        </w:tc>
        <w:tc>
          <w:tcPr>
            <w:tcW w:w="1615" w:type="dxa"/>
            <w:vMerge/>
            <w:shd w:val="clear" w:color="auto" w:fill="auto"/>
            <w:tcMar>
              <w:top w:w="100" w:type="dxa"/>
              <w:left w:w="100" w:type="dxa"/>
              <w:bottom w:w="100" w:type="dxa"/>
              <w:right w:w="100" w:type="dxa"/>
            </w:tcMar>
          </w:tcPr>
          <w:p w:rsidR="00D607CD" w:rsidRDefault="00D607CD">
            <w:pPr>
              <w:widowControl w:val="0"/>
              <w:pBdr>
                <w:top w:val="nil"/>
                <w:left w:val="nil"/>
                <w:bottom w:val="nil"/>
                <w:right w:val="nil"/>
                <w:between w:val="nil"/>
              </w:pBdr>
              <w:rPr>
                <w:color w:val="231F20"/>
                <w:sz w:val="18"/>
                <w:szCs w:val="18"/>
              </w:rPr>
            </w:pPr>
          </w:p>
        </w:tc>
      </w:tr>
      <w:tr w:rsidR="00D607CD">
        <w:trPr>
          <w:trHeight w:val="298"/>
        </w:trPr>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ind w:left="102"/>
              <w:rPr>
                <w:color w:val="231F20"/>
                <w:sz w:val="18"/>
                <w:szCs w:val="18"/>
              </w:rPr>
            </w:pPr>
            <w:r>
              <w:rPr>
                <w:color w:val="231F20"/>
                <w:sz w:val="18"/>
                <w:szCs w:val="18"/>
              </w:rPr>
              <w:t xml:space="preserve">Гіпердипер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10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35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 xml:space="preserve">15 </w:t>
            </w:r>
          </w:p>
        </w:tc>
        <w:tc>
          <w:tcPr>
            <w:tcW w:w="1615" w:type="dxa"/>
            <w:shd w:val="clear" w:color="auto" w:fill="auto"/>
            <w:tcMar>
              <w:top w:w="100" w:type="dxa"/>
              <w:left w:w="100" w:type="dxa"/>
              <w:bottom w:w="100" w:type="dxa"/>
              <w:right w:w="100" w:type="dxa"/>
            </w:tcMar>
          </w:tcPr>
          <w:p w:rsidR="00D607CD" w:rsidRDefault="001B586C">
            <w:pPr>
              <w:widowControl w:val="0"/>
              <w:pBdr>
                <w:top w:val="nil"/>
                <w:left w:val="nil"/>
                <w:bottom w:val="nil"/>
                <w:right w:val="nil"/>
                <w:between w:val="nil"/>
              </w:pBdr>
              <w:spacing w:line="240" w:lineRule="auto"/>
              <w:jc w:val="center"/>
              <w:rPr>
                <w:color w:val="231F20"/>
                <w:sz w:val="18"/>
                <w:szCs w:val="18"/>
              </w:rPr>
            </w:pPr>
            <w:r>
              <w:rPr>
                <w:color w:val="231F20"/>
                <w:sz w:val="18"/>
                <w:szCs w:val="18"/>
              </w:rPr>
              <w:t>20</w:t>
            </w:r>
          </w:p>
        </w:tc>
        <w:tc>
          <w:tcPr>
            <w:tcW w:w="1615" w:type="dxa"/>
            <w:vMerge/>
            <w:shd w:val="clear" w:color="auto" w:fill="auto"/>
            <w:tcMar>
              <w:top w:w="100" w:type="dxa"/>
              <w:left w:w="100" w:type="dxa"/>
              <w:bottom w:w="100" w:type="dxa"/>
              <w:right w:w="100" w:type="dxa"/>
            </w:tcMar>
          </w:tcPr>
          <w:p w:rsidR="00D607CD" w:rsidRDefault="00D607CD">
            <w:pPr>
              <w:widowControl w:val="0"/>
              <w:pBdr>
                <w:top w:val="nil"/>
                <w:left w:val="nil"/>
                <w:bottom w:val="nil"/>
                <w:right w:val="nil"/>
                <w:between w:val="nil"/>
              </w:pBdr>
              <w:rPr>
                <w:color w:val="231F20"/>
                <w:sz w:val="18"/>
                <w:szCs w:val="18"/>
              </w:rPr>
            </w:pPr>
          </w:p>
        </w:tc>
      </w:tr>
    </w:tbl>
    <w:p w:rsidR="00D607CD" w:rsidRDefault="00D607CD">
      <w:pPr>
        <w:widowControl w:val="0"/>
        <w:pBdr>
          <w:top w:val="nil"/>
          <w:left w:val="nil"/>
          <w:bottom w:val="nil"/>
          <w:right w:val="nil"/>
          <w:between w:val="nil"/>
        </w:pBdr>
        <w:rPr>
          <w:color w:val="000000"/>
        </w:rPr>
      </w:pPr>
    </w:p>
    <w:p w:rsidR="00D607CD" w:rsidRDefault="00D607CD">
      <w:pPr>
        <w:widowControl w:val="0"/>
        <w:pBdr>
          <w:top w:val="nil"/>
          <w:left w:val="nil"/>
          <w:bottom w:val="nil"/>
          <w:right w:val="nil"/>
          <w:between w:val="nil"/>
        </w:pBdr>
        <w:rPr>
          <w:color w:val="000000"/>
        </w:rPr>
      </w:pPr>
    </w:p>
    <w:p w:rsidR="00D607CD" w:rsidRDefault="001B586C">
      <w:pPr>
        <w:widowControl w:val="0"/>
        <w:pBdr>
          <w:top w:val="nil"/>
          <w:left w:val="nil"/>
          <w:bottom w:val="nil"/>
          <w:right w:val="nil"/>
          <w:between w:val="nil"/>
        </w:pBdr>
        <w:spacing w:line="222" w:lineRule="auto"/>
        <w:ind w:left="4" w:right="-11" w:firstLine="9"/>
        <w:rPr>
          <w:b/>
          <w:i/>
          <w:color w:val="231F20"/>
          <w:sz w:val="18"/>
          <w:szCs w:val="18"/>
        </w:rPr>
      </w:pPr>
      <w:r>
        <w:rPr>
          <w:b/>
          <w:i/>
          <w:color w:val="231F20"/>
          <w:sz w:val="18"/>
          <w:szCs w:val="18"/>
        </w:rPr>
        <w:t>Примітки: 1 — достовірність різниці групи «Війна» проти групи «До війни», 2 — достовірність різниці групи  «Війна» проти групи «Ковід», 3 — достовірність різниці групи «Війна» проти групи «Спокій», 4 — досто вірність різниці групи «До війни» проти групи «К</w:t>
      </w:r>
      <w:r>
        <w:rPr>
          <w:b/>
          <w:i/>
          <w:color w:val="231F20"/>
          <w:sz w:val="18"/>
          <w:szCs w:val="18"/>
        </w:rPr>
        <w:t xml:space="preserve">овід», 5 — достовірність різниці групи «До </w:t>
      </w:r>
      <w:r>
        <w:rPr>
          <w:b/>
          <w:i/>
          <w:color w:val="231F20"/>
          <w:sz w:val="18"/>
          <w:szCs w:val="18"/>
        </w:rPr>
        <w:lastRenderedPageBreak/>
        <w:t>війни» про ти групи «Спокій», 6 — достовірність різниці групи «Ковід» проти групи «Спокій». Достовірність на рівні  р &lt; 0,05 для всіх груп.</w:t>
      </w:r>
    </w:p>
    <w:p w:rsidR="00D607CD" w:rsidRDefault="001B586C">
      <w:pPr>
        <w:widowControl w:val="0"/>
        <w:pBdr>
          <w:top w:val="nil"/>
          <w:left w:val="nil"/>
          <w:bottom w:val="nil"/>
          <w:right w:val="nil"/>
          <w:between w:val="nil"/>
        </w:pBdr>
        <w:spacing w:before="322" w:line="240" w:lineRule="auto"/>
        <w:jc w:val="center"/>
        <w:rPr>
          <w:b/>
          <w:color w:val="231F20"/>
          <w:sz w:val="20"/>
          <w:szCs w:val="20"/>
        </w:rPr>
        <w:sectPr w:rsidR="00D607CD">
          <w:type w:val="continuous"/>
          <w:pgSz w:w="11440" w:h="16820"/>
          <w:pgMar w:top="1075" w:right="827" w:bottom="998" w:left="866" w:header="0" w:footer="720" w:gutter="0"/>
          <w:cols w:space="720" w:equalWidth="0">
            <w:col w:w="9746" w:space="0"/>
          </w:cols>
        </w:sectPr>
      </w:pPr>
      <w:r>
        <w:rPr>
          <w:color w:val="231F20"/>
          <w:sz w:val="18"/>
          <w:szCs w:val="18"/>
        </w:rPr>
        <w:t xml:space="preserve">Том 16, N¹ 1–2, 2023 </w:t>
      </w:r>
      <w:r>
        <w:rPr>
          <w:color w:val="231F20"/>
          <w:sz w:val="19"/>
          <w:szCs w:val="19"/>
        </w:rPr>
        <w:t xml:space="preserve">www.mif-ua.com, http://hypertension.zaslavsky.com.ua </w:t>
      </w:r>
      <w:r>
        <w:rPr>
          <w:b/>
          <w:color w:val="231F20"/>
          <w:sz w:val="20"/>
          <w:szCs w:val="20"/>
        </w:rPr>
        <w:t xml:space="preserve">47 </w:t>
      </w:r>
    </w:p>
    <w:p w:rsidR="00D607CD" w:rsidRDefault="001B586C">
      <w:pPr>
        <w:widowControl w:val="0"/>
        <w:pBdr>
          <w:top w:val="nil"/>
          <w:left w:val="nil"/>
          <w:bottom w:val="nil"/>
          <w:right w:val="nil"/>
          <w:between w:val="nil"/>
        </w:pBdr>
        <w:spacing w:before="494" w:line="240" w:lineRule="auto"/>
        <w:rPr>
          <w:b/>
          <w:color w:val="231F20"/>
          <w:sz w:val="24"/>
          <w:szCs w:val="24"/>
        </w:rPr>
      </w:pPr>
      <w:r>
        <w:rPr>
          <w:b/>
          <w:color w:val="231F20"/>
          <w:sz w:val="24"/>
          <w:szCs w:val="24"/>
        </w:rPr>
        <w:lastRenderedPageBreak/>
        <w:t xml:space="preserve">Обговорення  </w:t>
      </w:r>
    </w:p>
    <w:p w:rsidR="00D607CD" w:rsidRDefault="001B586C">
      <w:pPr>
        <w:widowControl w:val="0"/>
        <w:pBdr>
          <w:top w:val="nil"/>
          <w:left w:val="nil"/>
          <w:bottom w:val="nil"/>
          <w:right w:val="nil"/>
          <w:between w:val="nil"/>
        </w:pBdr>
        <w:spacing w:line="240" w:lineRule="auto"/>
        <w:rPr>
          <w:b/>
          <w:color w:val="FFFFFF"/>
          <w:sz w:val="20"/>
          <w:szCs w:val="20"/>
        </w:rPr>
      </w:pPr>
      <w:r>
        <w:rPr>
          <w:b/>
          <w:color w:val="FFFFFF"/>
          <w:sz w:val="20"/>
          <w:szCs w:val="20"/>
        </w:rPr>
        <w:t xml:space="preserve">КЛІНІЧНІ ДОСЛІДЖЕННЯ / CLINICIAL RESEARCHES </w:t>
      </w:r>
    </w:p>
    <w:p w:rsidR="00D607CD" w:rsidRDefault="001B586C">
      <w:pPr>
        <w:widowControl w:val="0"/>
        <w:pBdr>
          <w:top w:val="nil"/>
          <w:left w:val="nil"/>
          <w:bottom w:val="nil"/>
          <w:right w:val="nil"/>
          <w:between w:val="nil"/>
        </w:pBdr>
        <w:spacing w:before="562" w:line="240" w:lineRule="auto"/>
        <w:rPr>
          <w:color w:val="231F20"/>
          <w:sz w:val="19"/>
          <w:szCs w:val="19"/>
        </w:rPr>
      </w:pPr>
      <w:r>
        <w:rPr>
          <w:color w:val="231F20"/>
          <w:sz w:val="19"/>
          <w:szCs w:val="19"/>
        </w:rPr>
        <w:t xml:space="preserve">Найперше, що привертає увагу, це велика  </w:t>
      </w:r>
    </w:p>
    <w:p w:rsidR="00D607CD" w:rsidRDefault="001B586C">
      <w:pPr>
        <w:widowControl w:val="0"/>
        <w:pBdr>
          <w:top w:val="nil"/>
          <w:left w:val="nil"/>
          <w:bottom w:val="nil"/>
          <w:right w:val="nil"/>
          <w:between w:val="nil"/>
        </w:pBdr>
        <w:spacing w:before="8" w:line="242" w:lineRule="auto"/>
        <w:ind w:left="1" w:right="126" w:firstLine="295"/>
        <w:rPr>
          <w:color w:val="231F20"/>
          <w:sz w:val="19"/>
          <w:szCs w:val="19"/>
        </w:rPr>
      </w:pPr>
      <w:r>
        <w:rPr>
          <w:color w:val="231F20"/>
          <w:sz w:val="19"/>
          <w:szCs w:val="19"/>
        </w:rPr>
        <w:t>На регуляцію АТ, окрім автономної і гумо ральної реакції організму, впливає ціла низка  чинників, у тому числі і типи призначеної анти гіпертензивної терапії, прийом фіксованої або  вільної комбінації препаратів, прийом терапії  ввечері або вранці, прихиль</w:t>
      </w:r>
      <w:r>
        <w:rPr>
          <w:color w:val="231F20"/>
          <w:sz w:val="19"/>
          <w:szCs w:val="19"/>
        </w:rPr>
        <w:t>ність до лікування,  наявність супутніх захворювань та чинників ри зику та багато іншого. У нашому дослідженні ми  спробували нівелювати вплив додаткових чинни ків шляхом вибіркового рандомізованого підходу  до формування груп порівняння, саме тому ви бірк</w:t>
      </w:r>
      <w:r>
        <w:rPr>
          <w:color w:val="231F20"/>
          <w:sz w:val="19"/>
          <w:szCs w:val="19"/>
        </w:rPr>
        <w:t xml:space="preserve">и були репрезентативними одна щодо одної.  У такій ситуації ми можемо умовно нехтувати  впливом додаткових чинників у кожного кон кретного хворого, ці групи цілком відповідають  тому профілю пацієнтів, які зверталися у наш  відділ. Принциповою відмінністю </w:t>
      </w:r>
      <w:r>
        <w:rPr>
          <w:color w:val="231F20"/>
          <w:sz w:val="19"/>
          <w:szCs w:val="19"/>
        </w:rPr>
        <w:t xml:space="preserve">були лише  терміни та умови під час звернення, які впливали  на циркадний профіль АТ. </w:t>
      </w:r>
    </w:p>
    <w:p w:rsidR="00D607CD" w:rsidRDefault="001B586C">
      <w:pPr>
        <w:widowControl w:val="0"/>
        <w:pBdr>
          <w:top w:val="nil"/>
          <w:left w:val="nil"/>
          <w:bottom w:val="nil"/>
          <w:right w:val="nil"/>
          <w:between w:val="nil"/>
        </w:pBdr>
        <w:spacing w:before="6" w:line="242" w:lineRule="auto"/>
        <w:ind w:right="126" w:firstLine="297"/>
        <w:rPr>
          <w:color w:val="231F20"/>
          <w:sz w:val="19"/>
          <w:szCs w:val="19"/>
        </w:rPr>
      </w:pPr>
      <w:r>
        <w:rPr>
          <w:color w:val="231F20"/>
          <w:sz w:val="19"/>
          <w:szCs w:val="19"/>
        </w:rPr>
        <w:t xml:space="preserve">Слід зазначити, що варіабельність АТ протя гом доби — це нормальне явище, навіть у паці єнтів із АГ, якщо коливання АТ протягом доби  відповідає фізіологічним циркадним </w:t>
      </w:r>
      <w:r>
        <w:rPr>
          <w:color w:val="231F20"/>
          <w:sz w:val="19"/>
          <w:szCs w:val="19"/>
        </w:rPr>
        <w:t xml:space="preserve">ритмам.  Проте, як показує практика, навіть на ранніх ета пах АГ може відбуватися дисбаланс вегетативної  та ендокринної регуляції АТ, тим більше на фоні  впливу стресорних чинників різного типу, що  відображається у зміні нормального профілю АТ  протягом </w:t>
      </w:r>
      <w:r>
        <w:rPr>
          <w:color w:val="231F20"/>
          <w:sz w:val="19"/>
          <w:szCs w:val="19"/>
        </w:rPr>
        <w:t xml:space="preserve">доби. ДІ є основним показником ва ріабельності АТ протягом доби, який викорис товують у клінічній практиці, а тому в нашому  аналізі ми спиралися саме на його значення.  Щоб порівняти отримані нами дані із частотою  виявлення статусу добового профілю АТ у </w:t>
      </w:r>
      <w:r>
        <w:rPr>
          <w:color w:val="231F20"/>
          <w:sz w:val="19"/>
          <w:szCs w:val="19"/>
        </w:rPr>
        <w:t xml:space="preserve">по пуляції пацієнтів з АГ, ми звернулися до даних  літератури та виявили, що нормальне зниження  АТ у нічні години відповідає ДІ 10–20 % та зу стрічається у 52–82 % осіб [2]. У нашому аналізі  подібні дані ми спостерігали у групах «До війни»  та «Спокій». </w:t>
      </w:r>
      <w:r>
        <w:rPr>
          <w:color w:val="231F20"/>
          <w:sz w:val="19"/>
          <w:szCs w:val="19"/>
        </w:rPr>
        <w:t xml:space="preserve"> </w:t>
      </w:r>
    </w:p>
    <w:p w:rsidR="00D607CD" w:rsidRDefault="001B586C">
      <w:pPr>
        <w:widowControl w:val="0"/>
        <w:pBdr>
          <w:top w:val="nil"/>
          <w:left w:val="nil"/>
          <w:bottom w:val="nil"/>
          <w:right w:val="nil"/>
          <w:between w:val="nil"/>
        </w:pBdr>
        <w:spacing w:before="6" w:line="242" w:lineRule="auto"/>
        <w:ind w:left="1" w:right="126" w:firstLine="295"/>
        <w:rPr>
          <w:color w:val="231F20"/>
          <w:sz w:val="19"/>
          <w:szCs w:val="19"/>
        </w:rPr>
      </w:pPr>
      <w:r>
        <w:rPr>
          <w:color w:val="231F20"/>
          <w:sz w:val="19"/>
          <w:szCs w:val="19"/>
        </w:rPr>
        <w:t xml:space="preserve">Пацієнти із профілем АТ «нон-дипер» — це  пацієнти, у яких ДІ менше ніж 10 %, і така си туація спостерігається у 16–26 % хворих з АГ за  даними джерел [2], у той час як у нашому дослі дженні у групі «Війна» частота виявлення тако го статусу сягала 60 %, </w:t>
      </w:r>
      <w:r>
        <w:rPr>
          <w:color w:val="231F20"/>
          <w:sz w:val="19"/>
          <w:szCs w:val="19"/>
        </w:rPr>
        <w:t xml:space="preserve">що є набагато вищим за  наведені середні дані. Пацієнти із профілем АТ  «гіпердипер» мають ДІ більше ніж 20 %, що зу стрічається у близько 19 % хворих відповідно до  результатів досліджень [2]. Цікаво, що у нашо му аналізі подібну частоту ми побачили лише </w:t>
      </w:r>
      <w:r>
        <w:rPr>
          <w:color w:val="231F20"/>
          <w:sz w:val="19"/>
          <w:szCs w:val="19"/>
        </w:rPr>
        <w:t xml:space="preserve">у  групі «Ковід» (20 %), у той час як у групі «Вій на» не було жодного такого пацієнта. Пацієнти  із профілем АТ «найт-пікер» — особи з </w:t>
      </w:r>
      <w:r>
        <w:rPr>
          <w:color w:val="231F20"/>
          <w:sz w:val="19"/>
          <w:szCs w:val="19"/>
        </w:rPr>
        <w:lastRenderedPageBreak/>
        <w:t>нічною  гіпертензією, у яких показники АТ у нічний час  перевищують денні і ДІ має негативне значення  (близько 3 % хвор</w:t>
      </w:r>
      <w:r>
        <w:rPr>
          <w:color w:val="231F20"/>
          <w:sz w:val="19"/>
          <w:szCs w:val="19"/>
        </w:rPr>
        <w:t xml:space="preserve">их відповідно до даних літера тури). </w:t>
      </w:r>
    </w:p>
    <w:p w:rsidR="00D607CD" w:rsidRDefault="001B586C">
      <w:pPr>
        <w:widowControl w:val="0"/>
        <w:pBdr>
          <w:top w:val="nil"/>
          <w:left w:val="nil"/>
          <w:bottom w:val="nil"/>
          <w:right w:val="nil"/>
          <w:between w:val="nil"/>
        </w:pBdr>
        <w:spacing w:line="242" w:lineRule="auto"/>
        <w:ind w:left="108" w:right="17" w:firstLine="7"/>
        <w:rPr>
          <w:color w:val="231F20"/>
          <w:sz w:val="19"/>
          <w:szCs w:val="19"/>
        </w:rPr>
      </w:pPr>
      <w:r>
        <w:rPr>
          <w:color w:val="231F20"/>
          <w:sz w:val="19"/>
          <w:szCs w:val="19"/>
        </w:rPr>
        <w:t>кількість пацієнтів із статусом «нон-дипер» та  найменше зниження САТ і ДАТ у нічний час  у першій групі порівняно з усіма іншими. Від мінною рисою широкомасштабного військово го вторгнення на території України стало те, що  ракетні удари, зокрема і по цив</w:t>
      </w:r>
      <w:r>
        <w:rPr>
          <w:color w:val="231F20"/>
          <w:sz w:val="19"/>
          <w:szCs w:val="19"/>
        </w:rPr>
        <w:t>ільних об’єктах,  наносилися вночі. Цим можна пояснити, чому  вночі не було повного розслаблення, ймовірно,  зменшення тривалості фази глибокого сну, а це  дуже негативно впливає на зміну початково на віть нормального добового циркадного ритму,  викривлююч</w:t>
      </w:r>
      <w:r>
        <w:rPr>
          <w:color w:val="231F20"/>
          <w:sz w:val="19"/>
          <w:szCs w:val="19"/>
        </w:rPr>
        <w:t>и нормальний профіль коливання  АТ. Варто зазначити, що дискусія щодо прогнос тичного значення статусу «нон-дипер» і дотепер  точиться у науковій літературі [1]. Нам теж склад но оцінити, наскільки цей ефект буде негативно  впливати на здоров’я українців у</w:t>
      </w:r>
      <w:r>
        <w:rPr>
          <w:color w:val="231F20"/>
          <w:sz w:val="19"/>
          <w:szCs w:val="19"/>
        </w:rPr>
        <w:t xml:space="preserve"> майбутньому,  однак уже сьогодні ми можемо констатувати до сить значне порушення нормальної регуляції  основних систем організму вночі, що в подаль шому може призвести до погіршення контролю  АТ у пацієнтів із АГ, розвитку АГ у нормотензив них осіб, ожирі</w:t>
      </w:r>
      <w:r>
        <w:rPr>
          <w:color w:val="231F20"/>
          <w:sz w:val="19"/>
          <w:szCs w:val="19"/>
        </w:rPr>
        <w:t xml:space="preserve">ння, порушення рівня глюкози  крові та цілої низки інших захворювань та станів,  асоційованих з хронічним стресом [1]. Тому вже  сьогодні доцільно звернути увагу на таке пору шення. </w:t>
      </w:r>
    </w:p>
    <w:p w:rsidR="00D607CD" w:rsidRDefault="001B586C">
      <w:pPr>
        <w:widowControl w:val="0"/>
        <w:pBdr>
          <w:top w:val="nil"/>
          <w:left w:val="nil"/>
          <w:bottom w:val="nil"/>
          <w:right w:val="nil"/>
          <w:between w:val="nil"/>
        </w:pBdr>
        <w:spacing w:before="6" w:line="242" w:lineRule="auto"/>
        <w:ind w:left="110" w:right="17" w:firstLine="293"/>
        <w:rPr>
          <w:color w:val="231F20"/>
          <w:sz w:val="19"/>
          <w:szCs w:val="19"/>
        </w:rPr>
        <w:sectPr w:rsidR="00D607CD">
          <w:type w:val="continuous"/>
          <w:pgSz w:w="11440" w:h="16820"/>
          <w:pgMar w:top="1075" w:right="822" w:bottom="998" w:left="885" w:header="0" w:footer="720" w:gutter="0"/>
          <w:cols w:num="2" w:space="720" w:equalWidth="0">
            <w:col w:w="4880" w:space="0"/>
            <w:col w:w="4880" w:space="0"/>
          </w:cols>
        </w:sectPr>
      </w:pPr>
      <w:r>
        <w:rPr>
          <w:color w:val="231F20"/>
          <w:sz w:val="19"/>
          <w:szCs w:val="19"/>
        </w:rPr>
        <w:t xml:space="preserve">З іншого боку, у групі «До війни» профіль  </w:t>
      </w:r>
      <w:r>
        <w:rPr>
          <w:color w:val="231F20"/>
          <w:sz w:val="19"/>
          <w:szCs w:val="19"/>
        </w:rPr>
        <w:t>нічного зниження АТ відповідав такому у конт рольній групі «Спокій», що начебто говорить  про нормальний профіль регуляції АТ протягом  доби. Період до початку широкомасштабного  військового вторгнення на території України був  обраний нами із тих міркуван</w:t>
      </w:r>
      <w:r>
        <w:rPr>
          <w:color w:val="231F20"/>
          <w:sz w:val="19"/>
          <w:szCs w:val="19"/>
        </w:rPr>
        <w:t>ь, що саме цей пері од відзначався найбільшою тривожністю і перед чуттям біди, що є стресогенним чинником зовсім  іншої природи. Протягом тривалого періоду часу  населення України перебувало під впливом ін формації із масмедіа, які намагалися донести до  с</w:t>
      </w:r>
      <w:r>
        <w:rPr>
          <w:color w:val="231F20"/>
          <w:sz w:val="19"/>
          <w:szCs w:val="19"/>
        </w:rPr>
        <w:t>відомості громадян проблему і попередити про  ймовірний військовий конфлікт. У цей час до нас  зверталися пацієнти, які скаржилися на погір шення контролю АТ на фоні стандартної для них  антигіпертензивної терапії, часті перепади АТ і  неможливість підібра</w:t>
      </w:r>
      <w:r>
        <w:rPr>
          <w:color w:val="231F20"/>
          <w:sz w:val="19"/>
          <w:szCs w:val="19"/>
        </w:rPr>
        <w:t>ти оптимальні дози антигі пертензивних препаратів. І дійсно, ми це поба чили завдяки показнику СВ, який виявився най вищим у цій групі. Така значна варіабельність АТ  протягом доби може бути ознакою тривожності,  яку лікарі помічали у своїх пацієнтів протя</w:t>
      </w:r>
      <w:r>
        <w:rPr>
          <w:color w:val="231F20"/>
          <w:sz w:val="19"/>
          <w:szCs w:val="19"/>
        </w:rPr>
        <w:t>гом  цього періоду. Більш того, існують дані, що СВ  САТ пов’язана із більшою кількістю серцево-су динних подій, адже при різкому підвищенні АТ  від низького або нормального до високого рівня  судини можуть не витримати такого навантажен ня [7]. Крім того,</w:t>
      </w:r>
      <w:r>
        <w:rPr>
          <w:color w:val="231F20"/>
          <w:sz w:val="19"/>
          <w:szCs w:val="19"/>
        </w:rPr>
        <w:t xml:space="preserve"> саме у групі «До війни» відмі чався найвищий САТ уранці, що може бути до датковим підтвердженням цієї гіпотези.</w:t>
      </w:r>
    </w:p>
    <w:p w:rsidR="00D607CD" w:rsidRDefault="001B586C">
      <w:pPr>
        <w:widowControl w:val="0"/>
        <w:pBdr>
          <w:top w:val="nil"/>
          <w:left w:val="nil"/>
          <w:bottom w:val="nil"/>
          <w:right w:val="nil"/>
          <w:between w:val="nil"/>
        </w:pBdr>
        <w:spacing w:before="420" w:line="240" w:lineRule="auto"/>
        <w:jc w:val="center"/>
        <w:rPr>
          <w:color w:val="231F20"/>
          <w:sz w:val="18"/>
          <w:szCs w:val="18"/>
        </w:rPr>
      </w:pPr>
      <w:r>
        <w:rPr>
          <w:b/>
          <w:color w:val="231F20"/>
          <w:sz w:val="20"/>
          <w:szCs w:val="20"/>
        </w:rPr>
        <w:lastRenderedPageBreak/>
        <w:t xml:space="preserve">48 </w:t>
      </w:r>
      <w:r>
        <w:rPr>
          <w:color w:val="231F20"/>
          <w:sz w:val="19"/>
          <w:szCs w:val="19"/>
        </w:rPr>
        <w:t xml:space="preserve">Àðòåðiàëüíà ãiïåðòåíçiÿ, </w:t>
      </w:r>
      <w:r>
        <w:rPr>
          <w:color w:val="231F20"/>
          <w:sz w:val="15"/>
          <w:szCs w:val="15"/>
        </w:rPr>
        <w:t xml:space="preserve">ISSN 2224-1485 (print), ISSN 2307-1095 (online) </w:t>
      </w:r>
      <w:r>
        <w:rPr>
          <w:color w:val="231F20"/>
          <w:sz w:val="18"/>
          <w:szCs w:val="18"/>
        </w:rPr>
        <w:t xml:space="preserve">Том 16, N¹ 1–2, 2023 </w:t>
      </w:r>
    </w:p>
    <w:p w:rsidR="00D607CD" w:rsidRDefault="001B586C">
      <w:pPr>
        <w:widowControl w:val="0"/>
        <w:pBdr>
          <w:top w:val="nil"/>
          <w:left w:val="nil"/>
          <w:bottom w:val="nil"/>
          <w:right w:val="nil"/>
          <w:between w:val="nil"/>
        </w:pBdr>
        <w:spacing w:line="240" w:lineRule="auto"/>
        <w:ind w:right="1846"/>
        <w:jc w:val="right"/>
        <w:rPr>
          <w:b/>
          <w:color w:val="FFFFFF"/>
          <w:sz w:val="20"/>
          <w:szCs w:val="20"/>
        </w:rPr>
        <w:sectPr w:rsidR="00D607CD">
          <w:type w:val="continuous"/>
          <w:pgSz w:w="11440" w:h="16820"/>
          <w:pgMar w:top="1075" w:right="827" w:bottom="998" w:left="866" w:header="0" w:footer="720" w:gutter="0"/>
          <w:cols w:space="720" w:equalWidth="0">
            <w:col w:w="9746" w:space="0"/>
          </w:cols>
        </w:sectPr>
      </w:pPr>
      <w:r>
        <w:rPr>
          <w:b/>
          <w:color w:val="FFFFFF"/>
          <w:sz w:val="20"/>
          <w:szCs w:val="20"/>
        </w:rPr>
        <w:t xml:space="preserve">КЛІНІЧНІ ДОСЛІДЖЕННЯ / CLINICIAL RESEARCHES </w:t>
      </w:r>
    </w:p>
    <w:p w:rsidR="00D607CD" w:rsidRDefault="001B586C">
      <w:pPr>
        <w:widowControl w:val="0"/>
        <w:pBdr>
          <w:top w:val="nil"/>
          <w:left w:val="nil"/>
          <w:bottom w:val="nil"/>
          <w:right w:val="nil"/>
          <w:between w:val="nil"/>
        </w:pBdr>
        <w:spacing w:before="331" w:line="242" w:lineRule="auto"/>
        <w:ind w:right="126" w:firstLine="296"/>
        <w:rPr>
          <w:color w:val="231F20"/>
          <w:sz w:val="19"/>
          <w:szCs w:val="19"/>
        </w:rPr>
      </w:pPr>
      <w:r>
        <w:rPr>
          <w:color w:val="231F20"/>
          <w:sz w:val="19"/>
          <w:szCs w:val="19"/>
        </w:rPr>
        <w:lastRenderedPageBreak/>
        <w:t>На нашу думку, цікавим виявився той факт, що  у групі «Ковід» ми не виявили жодних достовір них відмінностей ізольовано порівняно з групою  «Спокій». Протягом тривалого часу світові екс перти стверджували, що па</w:t>
      </w:r>
      <w:r>
        <w:rPr>
          <w:color w:val="231F20"/>
          <w:sz w:val="19"/>
          <w:szCs w:val="19"/>
        </w:rPr>
        <w:t>ндемія коронавірусної  хвороби буде мати негативний вплив на віддалені  наслідки як у пацієнтів із наявними серцево-су динними захворюваннями, так і у здорової по пуляції [5]. Основна роль серед чинників стресу  відводилася, власне, самій коронавірусній ін</w:t>
      </w:r>
      <w:r>
        <w:rPr>
          <w:color w:val="231F20"/>
          <w:sz w:val="19"/>
          <w:szCs w:val="19"/>
        </w:rPr>
        <w:t xml:space="preserve">фек ції, особливо при її тяжкому перебігу, стресу від  ізоляції і порушення соціальних зв’язків, стресу  від фінансової кризи, викликаної пандемією, від  страху втратити роботу або фінансову стабільність  тощо. Однак наше дослідження продемонструва ло, що </w:t>
      </w:r>
      <w:r>
        <w:rPr>
          <w:color w:val="231F20"/>
          <w:sz w:val="19"/>
          <w:szCs w:val="19"/>
        </w:rPr>
        <w:t xml:space="preserve">достовірного короткочасного негативного  впливу на регуляцію АТ усі ці чинники не мали.  Натомість ми спостерігали, що люди почали більш  ретельно та уважно ставитися до свого здоров’я,  контролювати рівень АТ, також поліпшилася  прихильність пацієнтів до </w:t>
      </w:r>
      <w:r>
        <w:rPr>
          <w:color w:val="231F20"/>
          <w:sz w:val="19"/>
          <w:szCs w:val="19"/>
        </w:rPr>
        <w:t xml:space="preserve">терапії. Більш того, ма лосимптомні пацієнти з АГ, які ніколи не зверта лися по медичну допомогу з приводу підвищення  АТ, саме внаслідок захворювання і лікування в  стаціонарі також починали лікування антигіпер тензивними препаратами. Тобто зростання час </w:t>
      </w:r>
      <w:r>
        <w:rPr>
          <w:color w:val="231F20"/>
          <w:sz w:val="19"/>
          <w:szCs w:val="19"/>
        </w:rPr>
        <w:t xml:space="preserve">тоти звернень з приводу коронавірусної хвороби  призвело до збільшення частоти виявлення АГ, а  також поліпшення її лікування. </w:t>
      </w:r>
    </w:p>
    <w:p w:rsidR="00D607CD" w:rsidRDefault="001B586C">
      <w:pPr>
        <w:widowControl w:val="0"/>
        <w:pBdr>
          <w:top w:val="nil"/>
          <w:left w:val="nil"/>
          <w:bottom w:val="nil"/>
          <w:right w:val="nil"/>
          <w:between w:val="nil"/>
        </w:pBdr>
        <w:spacing w:before="6" w:line="242" w:lineRule="auto"/>
        <w:ind w:left="3" w:right="126" w:firstLine="294"/>
        <w:rPr>
          <w:color w:val="231F20"/>
          <w:sz w:val="19"/>
          <w:szCs w:val="19"/>
        </w:rPr>
      </w:pPr>
      <w:r>
        <w:rPr>
          <w:color w:val="231F20"/>
          <w:sz w:val="19"/>
          <w:szCs w:val="19"/>
        </w:rPr>
        <w:t>Отже, загалом можна сказати, що кожна стре сова ситуація унікальна і має притаманний лише  їй набір стресогенних чинників, більш</w:t>
      </w:r>
      <w:r>
        <w:rPr>
          <w:color w:val="231F20"/>
          <w:sz w:val="19"/>
          <w:szCs w:val="19"/>
        </w:rPr>
        <w:t xml:space="preserve">ість з яких  може вплинути і на регуляцію АТ. Розуміння цих  чинників і того, як вони впливають на здоров’я  пацієнтів із АГ, дозволить нам прогнозувати роз виток тяжких серцево-судинних ускладнень у  майбутньому і запобігати йому. </w:t>
      </w:r>
    </w:p>
    <w:p w:rsidR="00D607CD" w:rsidRDefault="001B586C">
      <w:pPr>
        <w:widowControl w:val="0"/>
        <w:pBdr>
          <w:top w:val="nil"/>
          <w:left w:val="nil"/>
          <w:bottom w:val="nil"/>
          <w:right w:val="nil"/>
          <w:between w:val="nil"/>
        </w:pBdr>
        <w:spacing w:before="6" w:line="242" w:lineRule="auto"/>
        <w:ind w:left="2" w:right="126"/>
        <w:jc w:val="right"/>
        <w:rPr>
          <w:color w:val="231F20"/>
          <w:sz w:val="19"/>
          <w:szCs w:val="19"/>
        </w:rPr>
      </w:pPr>
      <w:r>
        <w:rPr>
          <w:color w:val="231F20"/>
          <w:sz w:val="19"/>
          <w:szCs w:val="19"/>
        </w:rPr>
        <w:t>Звісно, не можемо не зазначити обмеження,  які мало наше дослідження. До них відносяться  ретроспективний дизайн дослідження, відсут ність даних про супутні захворювання, прийом  терапії та інші діагностичні тести, а також не можливість оцінити вплив додат</w:t>
      </w:r>
      <w:r>
        <w:rPr>
          <w:color w:val="231F20"/>
          <w:sz w:val="19"/>
          <w:szCs w:val="19"/>
        </w:rPr>
        <w:t xml:space="preserve">кових чинників. </w:t>
      </w:r>
    </w:p>
    <w:p w:rsidR="00D607CD" w:rsidRDefault="001B586C">
      <w:pPr>
        <w:widowControl w:val="0"/>
        <w:pBdr>
          <w:top w:val="nil"/>
          <w:left w:val="nil"/>
          <w:bottom w:val="nil"/>
          <w:right w:val="nil"/>
          <w:between w:val="nil"/>
        </w:pBdr>
        <w:spacing w:before="155" w:line="240" w:lineRule="auto"/>
        <w:ind w:left="20"/>
        <w:rPr>
          <w:b/>
          <w:color w:val="231F20"/>
          <w:sz w:val="24"/>
          <w:szCs w:val="24"/>
        </w:rPr>
      </w:pPr>
      <w:r>
        <w:rPr>
          <w:b/>
          <w:color w:val="231F20"/>
          <w:sz w:val="24"/>
          <w:szCs w:val="24"/>
        </w:rPr>
        <w:t xml:space="preserve">Висновки </w:t>
      </w:r>
    </w:p>
    <w:p w:rsidR="00D607CD" w:rsidRDefault="001B586C">
      <w:pPr>
        <w:widowControl w:val="0"/>
        <w:pBdr>
          <w:top w:val="nil"/>
          <w:left w:val="nil"/>
          <w:bottom w:val="nil"/>
          <w:right w:val="nil"/>
          <w:between w:val="nil"/>
        </w:pBdr>
        <w:spacing w:before="31" w:line="242" w:lineRule="auto"/>
        <w:ind w:left="1" w:right="126" w:firstLine="309"/>
        <w:rPr>
          <w:color w:val="231F20"/>
          <w:sz w:val="19"/>
          <w:szCs w:val="19"/>
        </w:rPr>
      </w:pPr>
      <w:r>
        <w:rPr>
          <w:color w:val="231F20"/>
          <w:sz w:val="19"/>
          <w:szCs w:val="19"/>
        </w:rPr>
        <w:t xml:space="preserve">1. Під час війни у пацієнтів із АГ середні рівні  САТ і ДАТ уночі виявилися достовірно вищими,  ніж у групах «До війни», «Ковід», «Спокій». Та кож у цій групі відмічалася більша кількість нон диперів. </w:t>
      </w:r>
    </w:p>
    <w:p w:rsidR="00D607CD" w:rsidRDefault="001B586C">
      <w:pPr>
        <w:widowControl w:val="0"/>
        <w:pBdr>
          <w:top w:val="nil"/>
          <w:left w:val="nil"/>
          <w:bottom w:val="nil"/>
          <w:right w:val="nil"/>
          <w:between w:val="nil"/>
        </w:pBdr>
        <w:spacing w:before="6" w:line="242" w:lineRule="auto"/>
        <w:ind w:left="5" w:right="126" w:firstLine="288"/>
        <w:rPr>
          <w:color w:val="231F20"/>
          <w:sz w:val="19"/>
          <w:szCs w:val="19"/>
        </w:rPr>
      </w:pPr>
      <w:r>
        <w:rPr>
          <w:color w:val="231F20"/>
          <w:sz w:val="19"/>
          <w:szCs w:val="19"/>
        </w:rPr>
        <w:t xml:space="preserve">2. До війни у пацієнтів спостерігалися досто вірно вищі показники СВ АТ протягом доби, а  також достовірно вищою була амплітуда підви щення САТ вранці. </w:t>
      </w:r>
    </w:p>
    <w:p w:rsidR="00D607CD" w:rsidRDefault="001B586C">
      <w:pPr>
        <w:widowControl w:val="0"/>
        <w:pBdr>
          <w:top w:val="nil"/>
          <w:left w:val="nil"/>
          <w:bottom w:val="nil"/>
          <w:right w:val="nil"/>
          <w:between w:val="nil"/>
        </w:pBdr>
        <w:spacing w:before="6" w:line="242" w:lineRule="auto"/>
        <w:ind w:left="5" w:right="126" w:firstLine="294"/>
        <w:rPr>
          <w:color w:val="231F20"/>
          <w:sz w:val="19"/>
          <w:szCs w:val="19"/>
        </w:rPr>
      </w:pPr>
      <w:r>
        <w:rPr>
          <w:color w:val="231F20"/>
          <w:sz w:val="19"/>
          <w:szCs w:val="19"/>
        </w:rPr>
        <w:t>3. Якщо враховувати виключно компонент  психоемоційного навантаження протягом сві тової пандемії, можна</w:t>
      </w:r>
      <w:r>
        <w:rPr>
          <w:color w:val="231F20"/>
          <w:sz w:val="19"/>
          <w:szCs w:val="19"/>
        </w:rPr>
        <w:t xml:space="preserve"> стверджувати, що період  COVID-19 істотно не вплинув на показники цир кадного ритму </w:t>
      </w:r>
      <w:r>
        <w:rPr>
          <w:color w:val="231F20"/>
          <w:sz w:val="19"/>
          <w:szCs w:val="19"/>
        </w:rPr>
        <w:lastRenderedPageBreak/>
        <w:t xml:space="preserve">АТ. </w:t>
      </w:r>
    </w:p>
    <w:p w:rsidR="00D607CD" w:rsidRDefault="001B586C">
      <w:pPr>
        <w:widowControl w:val="0"/>
        <w:pBdr>
          <w:top w:val="nil"/>
          <w:left w:val="nil"/>
          <w:bottom w:val="nil"/>
          <w:right w:val="nil"/>
          <w:between w:val="nil"/>
        </w:pBdr>
        <w:spacing w:line="242" w:lineRule="auto"/>
        <w:ind w:left="112" w:right="17" w:firstLine="288"/>
        <w:rPr>
          <w:color w:val="231F20"/>
          <w:sz w:val="19"/>
          <w:szCs w:val="19"/>
        </w:rPr>
      </w:pPr>
      <w:r>
        <w:rPr>
          <w:color w:val="231F20"/>
          <w:sz w:val="19"/>
          <w:szCs w:val="19"/>
        </w:rPr>
        <w:t>4. Виявлені нами дані можуть допомогти у  прогнозуванні виникнення та перебігу серцево судинних захворювань у населення в повоєнні  часи, оскільки, розуміючи процеси порушення  нормального циркадного ритму пацієнта вже  зараз, ми можемо прогнозувати, які у</w:t>
      </w:r>
      <w:r>
        <w:rPr>
          <w:color w:val="231F20"/>
          <w:sz w:val="19"/>
          <w:szCs w:val="19"/>
        </w:rPr>
        <w:t xml:space="preserve">склад нення та стани можуть розвинутися у нього в  майбутньому, аби вже сьогодні знизити цей  ризик. </w:t>
      </w:r>
    </w:p>
    <w:p w:rsidR="00D607CD" w:rsidRDefault="001B586C">
      <w:pPr>
        <w:widowControl w:val="0"/>
        <w:pBdr>
          <w:top w:val="nil"/>
          <w:left w:val="nil"/>
          <w:bottom w:val="nil"/>
          <w:right w:val="nil"/>
          <w:between w:val="nil"/>
        </w:pBdr>
        <w:spacing w:before="6" w:line="242" w:lineRule="auto"/>
        <w:ind w:left="110" w:right="17" w:firstLine="297"/>
        <w:rPr>
          <w:color w:val="231F20"/>
          <w:sz w:val="19"/>
          <w:szCs w:val="19"/>
        </w:rPr>
      </w:pPr>
      <w:r>
        <w:rPr>
          <w:color w:val="231F20"/>
          <w:sz w:val="19"/>
          <w:szCs w:val="19"/>
        </w:rPr>
        <w:t xml:space="preserve">5. Рутинного офісного вимірювання і домаш нього моніторування недостатньо для індивідуа лізованої оцінки кардіоваскулярного ризику під  час різних стресогенних ситуацій. Ми рекомен дуємо використання ДМАТ у більшості паці єнтів. </w:t>
      </w:r>
    </w:p>
    <w:p w:rsidR="00D607CD" w:rsidRDefault="001B586C">
      <w:pPr>
        <w:widowControl w:val="0"/>
        <w:pBdr>
          <w:top w:val="nil"/>
          <w:left w:val="nil"/>
          <w:bottom w:val="nil"/>
          <w:right w:val="nil"/>
          <w:between w:val="nil"/>
        </w:pBdr>
        <w:spacing w:before="236" w:line="242" w:lineRule="auto"/>
        <w:ind w:left="116" w:right="75" w:firstLine="287"/>
        <w:jc w:val="both"/>
        <w:rPr>
          <w:color w:val="231F20"/>
          <w:sz w:val="19"/>
          <w:szCs w:val="19"/>
        </w:rPr>
      </w:pPr>
      <w:r>
        <w:rPr>
          <w:b/>
          <w:color w:val="231F20"/>
          <w:sz w:val="19"/>
          <w:szCs w:val="19"/>
        </w:rPr>
        <w:t xml:space="preserve">Конфлікт інтересів. </w:t>
      </w:r>
      <w:r>
        <w:rPr>
          <w:color w:val="231F20"/>
          <w:sz w:val="19"/>
          <w:szCs w:val="19"/>
        </w:rPr>
        <w:t>Автори</w:t>
      </w:r>
      <w:r>
        <w:rPr>
          <w:color w:val="231F20"/>
          <w:sz w:val="19"/>
          <w:szCs w:val="19"/>
        </w:rPr>
        <w:t xml:space="preserve"> заявляють про від сутність конфлікту інтересів та власної фінансо вої зацікавленості при підготовці даної статті. </w:t>
      </w:r>
    </w:p>
    <w:p w:rsidR="00D607CD" w:rsidRDefault="001B586C">
      <w:pPr>
        <w:widowControl w:val="0"/>
        <w:pBdr>
          <w:top w:val="nil"/>
          <w:left w:val="nil"/>
          <w:bottom w:val="nil"/>
          <w:right w:val="nil"/>
          <w:between w:val="nil"/>
        </w:pBdr>
        <w:spacing w:before="155" w:line="240" w:lineRule="auto"/>
        <w:ind w:left="119"/>
        <w:rPr>
          <w:b/>
          <w:color w:val="231F20"/>
          <w:sz w:val="24"/>
          <w:szCs w:val="24"/>
        </w:rPr>
      </w:pPr>
      <w:r>
        <w:rPr>
          <w:b/>
          <w:color w:val="231F20"/>
          <w:sz w:val="24"/>
          <w:szCs w:val="24"/>
        </w:rPr>
        <w:t xml:space="preserve">Список літератури </w:t>
      </w:r>
    </w:p>
    <w:p w:rsidR="00D607CD" w:rsidRDefault="001B586C">
      <w:pPr>
        <w:widowControl w:val="0"/>
        <w:pBdr>
          <w:top w:val="nil"/>
          <w:left w:val="nil"/>
          <w:bottom w:val="nil"/>
          <w:right w:val="nil"/>
          <w:between w:val="nil"/>
        </w:pBdr>
        <w:spacing w:before="41" w:line="255" w:lineRule="auto"/>
        <w:ind w:left="121" w:right="22" w:firstLine="295"/>
        <w:jc w:val="both"/>
        <w:rPr>
          <w:i/>
          <w:color w:val="231F20"/>
          <w:sz w:val="17"/>
          <w:szCs w:val="17"/>
        </w:rPr>
      </w:pPr>
      <w:r>
        <w:rPr>
          <w:i/>
          <w:color w:val="231F20"/>
          <w:sz w:val="17"/>
          <w:szCs w:val="17"/>
        </w:rPr>
        <w:t xml:space="preserve">1. Boos C.J., Toon L.T., Almahdi H. The relationship between  ambulatory arterial stiffness, inflammation, blood pressure dipping  and cardiovascular outcomes. BMC Cardiovasc. Disord. Vol. 16.  21(1). P. 139.  </w:t>
      </w:r>
    </w:p>
    <w:p w:rsidR="00D607CD" w:rsidRDefault="001B586C">
      <w:pPr>
        <w:widowControl w:val="0"/>
        <w:pBdr>
          <w:top w:val="nil"/>
          <w:left w:val="nil"/>
          <w:bottom w:val="nil"/>
          <w:right w:val="nil"/>
          <w:between w:val="nil"/>
        </w:pBdr>
        <w:spacing w:before="18" w:line="261" w:lineRule="auto"/>
        <w:ind w:left="119" w:right="22" w:firstLine="285"/>
        <w:rPr>
          <w:i/>
          <w:color w:val="231F20"/>
          <w:sz w:val="17"/>
          <w:szCs w:val="17"/>
        </w:rPr>
      </w:pPr>
      <w:r>
        <w:rPr>
          <w:i/>
          <w:color w:val="231F20"/>
          <w:sz w:val="17"/>
          <w:szCs w:val="17"/>
        </w:rPr>
        <w:t>2. Kammila S., Campbell N.R., Brant R. et al.</w:t>
      </w:r>
      <w:r>
        <w:rPr>
          <w:i/>
          <w:color w:val="231F20"/>
          <w:sz w:val="17"/>
          <w:szCs w:val="17"/>
        </w:rPr>
        <w:t xml:space="preserve"> Systematic er ror in the determination of nocturnal blood pressure dipping sta tus by ambulatory blood pressure monitoring. Blood Press. Monit.  Vol. 7(2). P. 131-134.  </w:t>
      </w:r>
    </w:p>
    <w:p w:rsidR="00D607CD" w:rsidRDefault="001B586C">
      <w:pPr>
        <w:widowControl w:val="0"/>
        <w:pBdr>
          <w:top w:val="nil"/>
          <w:left w:val="nil"/>
          <w:bottom w:val="nil"/>
          <w:right w:val="nil"/>
          <w:between w:val="nil"/>
        </w:pBdr>
        <w:spacing w:before="15" w:line="257" w:lineRule="auto"/>
        <w:ind w:left="118" w:right="22" w:firstLine="287"/>
        <w:rPr>
          <w:i/>
          <w:color w:val="231F20"/>
          <w:sz w:val="17"/>
          <w:szCs w:val="17"/>
        </w:rPr>
      </w:pPr>
      <w:r>
        <w:rPr>
          <w:i/>
          <w:color w:val="231F20"/>
          <w:sz w:val="17"/>
          <w:szCs w:val="17"/>
        </w:rPr>
        <w:t>3. Kario K. Morning surge in blood pressure and cardiovas cular risk: evidence and pe</w:t>
      </w:r>
      <w:r>
        <w:rPr>
          <w:i/>
          <w:color w:val="231F20"/>
          <w:sz w:val="17"/>
          <w:szCs w:val="17"/>
        </w:rPr>
        <w:t xml:space="preserve">rspectives. Hypertension. Vol. 56(5).  P. 765-773.  </w:t>
      </w:r>
    </w:p>
    <w:p w:rsidR="00D607CD" w:rsidRDefault="001B586C">
      <w:pPr>
        <w:widowControl w:val="0"/>
        <w:pBdr>
          <w:top w:val="nil"/>
          <w:left w:val="nil"/>
          <w:bottom w:val="nil"/>
          <w:right w:val="nil"/>
          <w:between w:val="nil"/>
        </w:pBdr>
        <w:spacing w:before="18" w:line="257" w:lineRule="auto"/>
        <w:ind w:left="119" w:right="22" w:firstLine="291"/>
        <w:rPr>
          <w:i/>
          <w:color w:val="231F20"/>
          <w:sz w:val="17"/>
          <w:szCs w:val="17"/>
        </w:rPr>
      </w:pPr>
      <w:r>
        <w:rPr>
          <w:i/>
          <w:color w:val="231F20"/>
          <w:sz w:val="17"/>
          <w:szCs w:val="17"/>
        </w:rPr>
        <w:t xml:space="preserve">4. Krakoff L.R. Ambulatory blood pressure improves predic tion of cardiovascular risk: implications for better antihypertensive  management. Curr. Atheroscler. Rep. Vol. 15(4). P. 317.  </w:t>
      </w:r>
    </w:p>
    <w:p w:rsidR="00D607CD" w:rsidRDefault="001B586C">
      <w:pPr>
        <w:widowControl w:val="0"/>
        <w:pBdr>
          <w:top w:val="nil"/>
          <w:left w:val="nil"/>
          <w:bottom w:val="nil"/>
          <w:right w:val="nil"/>
          <w:between w:val="nil"/>
        </w:pBdr>
        <w:spacing w:before="8" w:line="255" w:lineRule="auto"/>
        <w:ind w:left="86" w:right="22"/>
        <w:jc w:val="right"/>
        <w:rPr>
          <w:i/>
          <w:color w:val="231F20"/>
          <w:sz w:val="17"/>
          <w:szCs w:val="17"/>
        </w:rPr>
      </w:pPr>
      <w:r>
        <w:rPr>
          <w:i/>
          <w:color w:val="231F20"/>
          <w:sz w:val="17"/>
          <w:szCs w:val="17"/>
        </w:rPr>
        <w:t xml:space="preserve">5. Lip S., Mccallum L., Delles C. et al. Rationale and Design  for the LOnger-term effects of SARS-CoV-2 INfection on blood  Vessels And blood pRessure (LOCHINVAR): an observational  </w:t>
      </w:r>
    </w:p>
    <w:p w:rsidR="00D607CD" w:rsidRDefault="001B586C">
      <w:pPr>
        <w:widowControl w:val="0"/>
        <w:pBdr>
          <w:top w:val="nil"/>
          <w:left w:val="nil"/>
          <w:bottom w:val="nil"/>
          <w:right w:val="nil"/>
          <w:between w:val="nil"/>
        </w:pBdr>
        <w:spacing w:before="8" w:line="255" w:lineRule="auto"/>
        <w:ind w:left="98" w:right="22" w:hanging="22"/>
        <w:rPr>
          <w:i/>
          <w:color w:val="231F20"/>
          <w:sz w:val="17"/>
          <w:szCs w:val="17"/>
        </w:rPr>
      </w:pPr>
      <w:r>
        <w:rPr>
          <w:i/>
          <w:color w:val="231F20"/>
          <w:sz w:val="17"/>
          <w:szCs w:val="17"/>
        </w:rPr>
        <w:t>phenotyping study. Open Heart. Vol. 9(1). e002057.  6. Parati G., Stergi</w:t>
      </w:r>
      <w:r>
        <w:rPr>
          <w:i/>
          <w:color w:val="231F20"/>
          <w:sz w:val="17"/>
          <w:szCs w:val="17"/>
        </w:rPr>
        <w:t xml:space="preserve">ou G.S., Dolan E. et al. Blood pressure  variability: clinical relevance and application. J. Clin. Hypertens.  (Greenwich). Vol. 20(7). P. 1133-1137.  </w:t>
      </w:r>
    </w:p>
    <w:p w:rsidR="00D607CD" w:rsidRDefault="001B586C">
      <w:pPr>
        <w:widowControl w:val="0"/>
        <w:pBdr>
          <w:top w:val="nil"/>
          <w:left w:val="nil"/>
          <w:bottom w:val="nil"/>
          <w:right w:val="nil"/>
          <w:between w:val="nil"/>
        </w:pBdr>
        <w:spacing w:before="8" w:line="262" w:lineRule="auto"/>
        <w:ind w:left="121" w:right="22" w:firstLine="306"/>
        <w:rPr>
          <w:i/>
          <w:color w:val="231F20"/>
          <w:sz w:val="17"/>
          <w:szCs w:val="17"/>
        </w:rPr>
      </w:pPr>
      <w:r>
        <w:rPr>
          <w:i/>
          <w:color w:val="231F20"/>
          <w:sz w:val="17"/>
          <w:szCs w:val="17"/>
        </w:rPr>
        <w:t xml:space="preserve">7. Stevens S.L., Wood S., Koshiaris C. et al. Blood pressure  variability and cardiovascular disease: systematic review and me ta-analysis. BMJ. Vol. 354. Р. i4098.  </w:t>
      </w:r>
    </w:p>
    <w:p w:rsidR="00D607CD" w:rsidRDefault="001B586C">
      <w:pPr>
        <w:widowControl w:val="0"/>
        <w:pBdr>
          <w:top w:val="nil"/>
          <w:left w:val="nil"/>
          <w:bottom w:val="nil"/>
          <w:right w:val="nil"/>
          <w:between w:val="nil"/>
        </w:pBdr>
        <w:spacing w:before="4" w:line="260" w:lineRule="auto"/>
        <w:ind w:left="122" w:right="22" w:firstLine="290"/>
        <w:rPr>
          <w:i/>
          <w:color w:val="231F20"/>
          <w:sz w:val="17"/>
          <w:szCs w:val="17"/>
        </w:rPr>
      </w:pPr>
      <w:r>
        <w:rPr>
          <w:i/>
          <w:color w:val="231F20"/>
          <w:sz w:val="17"/>
          <w:szCs w:val="17"/>
        </w:rPr>
        <w:t>8. Strawn J.R., Ekhator N.N., Horn P.S. et al. Blood pressure  and cerebrospinal fluid no</w:t>
      </w:r>
      <w:r>
        <w:rPr>
          <w:i/>
          <w:color w:val="231F20"/>
          <w:sz w:val="17"/>
          <w:szCs w:val="17"/>
        </w:rPr>
        <w:t xml:space="preserve">repinephrine in combat-related post traumatic stress disorder. Psychosom. Med. Vol. 66(5). P. 757- 759.  </w:t>
      </w:r>
    </w:p>
    <w:p w:rsidR="00D607CD" w:rsidRDefault="001B586C">
      <w:pPr>
        <w:widowControl w:val="0"/>
        <w:pBdr>
          <w:top w:val="nil"/>
          <w:left w:val="nil"/>
          <w:bottom w:val="nil"/>
          <w:right w:val="nil"/>
          <w:between w:val="nil"/>
        </w:pBdr>
        <w:spacing w:before="5" w:line="255" w:lineRule="auto"/>
        <w:ind w:left="118" w:right="22" w:firstLine="290"/>
        <w:jc w:val="both"/>
        <w:rPr>
          <w:i/>
          <w:color w:val="231F20"/>
          <w:sz w:val="17"/>
          <w:szCs w:val="17"/>
        </w:rPr>
      </w:pPr>
      <w:r>
        <w:rPr>
          <w:i/>
          <w:color w:val="231F20"/>
          <w:sz w:val="17"/>
          <w:szCs w:val="17"/>
        </w:rPr>
        <w:t>9. Williams B., Mancia G., Spiering W. et al. 2018 ESC/ ESH Guidelines for the management of arterial hypertension. Eur.  Heart J. Vol. 39(33). P. 302</w:t>
      </w:r>
      <w:r>
        <w:rPr>
          <w:i/>
          <w:color w:val="231F20"/>
          <w:sz w:val="17"/>
          <w:szCs w:val="17"/>
        </w:rPr>
        <w:t xml:space="preserve">1-3104.  </w:t>
      </w:r>
    </w:p>
    <w:p w:rsidR="00D607CD" w:rsidRDefault="001B586C">
      <w:pPr>
        <w:widowControl w:val="0"/>
        <w:pBdr>
          <w:top w:val="nil"/>
          <w:left w:val="nil"/>
          <w:bottom w:val="nil"/>
          <w:right w:val="nil"/>
          <w:between w:val="nil"/>
        </w:pBdr>
        <w:spacing w:before="18" w:line="257" w:lineRule="auto"/>
        <w:ind w:left="115" w:right="22" w:firstLine="302"/>
        <w:rPr>
          <w:i/>
          <w:color w:val="231F20"/>
          <w:sz w:val="17"/>
          <w:szCs w:val="17"/>
        </w:rPr>
      </w:pPr>
      <w:r>
        <w:rPr>
          <w:i/>
          <w:color w:val="231F20"/>
          <w:sz w:val="17"/>
          <w:szCs w:val="17"/>
        </w:rPr>
        <w:t>10. Zanutto B.S., Fr</w:t>
      </w:r>
      <w:r>
        <w:rPr>
          <w:rFonts w:ascii="Times New Roman" w:eastAsia="Times New Roman" w:hAnsi="Times New Roman" w:cs="Times New Roman"/>
          <w:i/>
          <w:color w:val="231F20"/>
          <w:sz w:val="17"/>
          <w:szCs w:val="17"/>
        </w:rPr>
        <w:t>í</w:t>
      </w:r>
      <w:r>
        <w:rPr>
          <w:i/>
          <w:color w:val="231F20"/>
          <w:sz w:val="17"/>
          <w:szCs w:val="17"/>
        </w:rPr>
        <w:t xml:space="preserve">as B.C., Valentinuzzi M.E. Blood pres sure long term regulation: a neural network model of the set point  development. Biomed Eng. Online. Vol. 10. P. 54.  </w:t>
      </w:r>
    </w:p>
    <w:p w:rsidR="00D607CD" w:rsidRDefault="001B586C">
      <w:pPr>
        <w:widowControl w:val="0"/>
        <w:pBdr>
          <w:top w:val="nil"/>
          <w:left w:val="nil"/>
          <w:bottom w:val="nil"/>
          <w:right w:val="nil"/>
          <w:between w:val="nil"/>
        </w:pBdr>
        <w:spacing w:before="238" w:line="240" w:lineRule="auto"/>
        <w:ind w:right="61"/>
        <w:jc w:val="right"/>
        <w:rPr>
          <w:i/>
          <w:color w:val="231F20"/>
          <w:sz w:val="18"/>
          <w:szCs w:val="18"/>
        </w:rPr>
      </w:pPr>
      <w:r>
        <w:rPr>
          <w:i/>
          <w:color w:val="231F20"/>
          <w:sz w:val="18"/>
          <w:szCs w:val="18"/>
        </w:rPr>
        <w:t xml:space="preserve">Отримано/Received 01.04.2023 </w:t>
      </w:r>
    </w:p>
    <w:p w:rsidR="00D607CD" w:rsidRDefault="001B586C">
      <w:pPr>
        <w:widowControl w:val="0"/>
        <w:pBdr>
          <w:top w:val="nil"/>
          <w:left w:val="nil"/>
          <w:bottom w:val="nil"/>
          <w:right w:val="nil"/>
          <w:between w:val="nil"/>
        </w:pBdr>
        <w:spacing w:before="19" w:line="240" w:lineRule="auto"/>
        <w:ind w:right="61"/>
        <w:jc w:val="right"/>
        <w:rPr>
          <w:i/>
          <w:color w:val="231F20"/>
          <w:sz w:val="18"/>
          <w:szCs w:val="18"/>
        </w:rPr>
      </w:pPr>
      <w:r>
        <w:rPr>
          <w:i/>
          <w:color w:val="231F20"/>
          <w:sz w:val="18"/>
          <w:szCs w:val="18"/>
        </w:rPr>
        <w:t xml:space="preserve">Рецензовано/Revised 12.04.2023 </w:t>
      </w:r>
    </w:p>
    <w:p w:rsidR="00D607CD" w:rsidRDefault="001B586C">
      <w:pPr>
        <w:widowControl w:val="0"/>
        <w:pBdr>
          <w:top w:val="nil"/>
          <w:left w:val="nil"/>
          <w:bottom w:val="nil"/>
          <w:right w:val="nil"/>
          <w:between w:val="nil"/>
        </w:pBdr>
        <w:spacing w:before="19" w:line="240" w:lineRule="auto"/>
        <w:ind w:right="304"/>
        <w:jc w:val="right"/>
        <w:rPr>
          <w:i/>
          <w:color w:val="231F20"/>
          <w:sz w:val="18"/>
          <w:szCs w:val="18"/>
        </w:rPr>
        <w:sectPr w:rsidR="00D607CD">
          <w:type w:val="continuous"/>
          <w:pgSz w:w="11440" w:h="16820"/>
          <w:pgMar w:top="1075" w:right="822" w:bottom="998" w:left="874" w:header="0" w:footer="720" w:gutter="0"/>
          <w:cols w:num="2" w:space="720" w:equalWidth="0">
            <w:col w:w="4880" w:space="0"/>
            <w:col w:w="4880" w:space="0"/>
          </w:cols>
        </w:sectPr>
      </w:pPr>
      <w:r>
        <w:rPr>
          <w:i/>
          <w:color w:val="231F20"/>
          <w:sz w:val="18"/>
          <w:szCs w:val="18"/>
        </w:rPr>
        <w:t xml:space="preserve">Прийнято до друку/Accepted 18.04.2023 </w:t>
      </w:r>
    </w:p>
    <w:p w:rsidR="00D607CD" w:rsidRDefault="001B586C">
      <w:pPr>
        <w:widowControl w:val="0"/>
        <w:pBdr>
          <w:top w:val="nil"/>
          <w:left w:val="nil"/>
          <w:bottom w:val="nil"/>
          <w:right w:val="nil"/>
          <w:between w:val="nil"/>
        </w:pBdr>
        <w:spacing w:before="423" w:line="240" w:lineRule="auto"/>
        <w:jc w:val="center"/>
        <w:rPr>
          <w:b/>
          <w:color w:val="231F20"/>
          <w:sz w:val="20"/>
          <w:szCs w:val="20"/>
        </w:rPr>
      </w:pPr>
      <w:r>
        <w:rPr>
          <w:color w:val="231F20"/>
          <w:sz w:val="18"/>
          <w:szCs w:val="18"/>
        </w:rPr>
        <w:lastRenderedPageBreak/>
        <w:t xml:space="preserve">Том 16, N¹ 1–2, 2023 </w:t>
      </w:r>
      <w:r>
        <w:rPr>
          <w:color w:val="231F20"/>
          <w:sz w:val="19"/>
          <w:szCs w:val="19"/>
        </w:rPr>
        <w:t xml:space="preserve">www.mif-ua.com, http://hypertension.zaslavsky.com.ua </w:t>
      </w:r>
      <w:r>
        <w:rPr>
          <w:b/>
          <w:color w:val="231F20"/>
          <w:sz w:val="20"/>
          <w:szCs w:val="20"/>
        </w:rPr>
        <w:t xml:space="preserve">49 </w:t>
      </w:r>
    </w:p>
    <w:p w:rsidR="00D607CD" w:rsidRDefault="001B586C">
      <w:pPr>
        <w:widowControl w:val="0"/>
        <w:pBdr>
          <w:top w:val="nil"/>
          <w:left w:val="nil"/>
          <w:bottom w:val="nil"/>
          <w:right w:val="nil"/>
          <w:between w:val="nil"/>
        </w:pBdr>
        <w:spacing w:line="240" w:lineRule="auto"/>
        <w:ind w:left="1831"/>
        <w:rPr>
          <w:b/>
          <w:color w:val="FFFFFF"/>
          <w:sz w:val="20"/>
          <w:szCs w:val="20"/>
        </w:rPr>
      </w:pPr>
      <w:r>
        <w:rPr>
          <w:b/>
          <w:color w:val="FFFFFF"/>
          <w:sz w:val="20"/>
          <w:szCs w:val="20"/>
        </w:rPr>
        <w:t xml:space="preserve">КЛІНІЧНІ ДОСЛІДЖЕННЯ / CLINICIAL RESEARCHES </w:t>
      </w:r>
    </w:p>
    <w:p w:rsidR="00D607CD" w:rsidRDefault="001B586C">
      <w:pPr>
        <w:widowControl w:val="0"/>
        <w:pBdr>
          <w:top w:val="nil"/>
          <w:left w:val="nil"/>
          <w:bottom w:val="nil"/>
          <w:right w:val="nil"/>
          <w:between w:val="nil"/>
        </w:pBdr>
        <w:spacing w:before="693" w:line="240" w:lineRule="auto"/>
        <w:ind w:left="22"/>
        <w:rPr>
          <w:i/>
          <w:color w:val="231F20"/>
          <w:sz w:val="16"/>
          <w:szCs w:val="16"/>
        </w:rPr>
      </w:pPr>
      <w:r>
        <w:rPr>
          <w:i/>
          <w:color w:val="231F20"/>
          <w:sz w:val="16"/>
          <w:szCs w:val="16"/>
        </w:rPr>
        <w:lastRenderedPageBreak/>
        <w:t xml:space="preserve">O.O. Torbas, S.O. Progonov </w:t>
      </w:r>
    </w:p>
    <w:p w:rsidR="00D607CD" w:rsidRDefault="001B586C">
      <w:pPr>
        <w:widowControl w:val="0"/>
        <w:pBdr>
          <w:top w:val="nil"/>
          <w:left w:val="nil"/>
          <w:bottom w:val="nil"/>
          <w:right w:val="nil"/>
          <w:between w:val="nil"/>
        </w:pBdr>
        <w:spacing w:line="233" w:lineRule="auto"/>
        <w:ind w:left="19" w:right="1204" w:hanging="5"/>
        <w:rPr>
          <w:i/>
          <w:color w:val="231F20"/>
          <w:sz w:val="16"/>
          <w:szCs w:val="16"/>
        </w:rPr>
      </w:pPr>
      <w:r>
        <w:rPr>
          <w:i/>
          <w:color w:val="231F20"/>
          <w:sz w:val="16"/>
          <w:szCs w:val="16"/>
        </w:rPr>
        <w:t xml:space="preserve">State Institution “National Scientific Center “Institute of Cardiology, Clinical and Regenerative Medicine named  after Academician M.D. Strazhesko” of the National Academy of Medical Sciences of Ukraine, Kyiv, Ukraine </w:t>
      </w:r>
    </w:p>
    <w:p w:rsidR="00D607CD" w:rsidRDefault="001B586C">
      <w:pPr>
        <w:widowControl w:val="0"/>
        <w:pBdr>
          <w:top w:val="nil"/>
          <w:left w:val="nil"/>
          <w:bottom w:val="nil"/>
          <w:right w:val="nil"/>
          <w:between w:val="nil"/>
        </w:pBdr>
        <w:spacing w:before="108" w:line="240" w:lineRule="auto"/>
        <w:jc w:val="center"/>
        <w:rPr>
          <w:b/>
          <w:color w:val="231F20"/>
          <w:sz w:val="19"/>
          <w:szCs w:val="19"/>
        </w:rPr>
        <w:sectPr w:rsidR="00D607CD">
          <w:type w:val="continuous"/>
          <w:pgSz w:w="11440" w:h="16820"/>
          <w:pgMar w:top="1075" w:right="827" w:bottom="998" w:left="866" w:header="0" w:footer="720" w:gutter="0"/>
          <w:cols w:space="720" w:equalWidth="0">
            <w:col w:w="9746" w:space="0"/>
          </w:cols>
        </w:sectPr>
      </w:pPr>
      <w:r>
        <w:rPr>
          <w:b/>
          <w:color w:val="231F20"/>
          <w:sz w:val="19"/>
          <w:szCs w:val="19"/>
        </w:rPr>
        <w:t>Peculiarities</w:t>
      </w:r>
      <w:r>
        <w:rPr>
          <w:b/>
          <w:color w:val="231F20"/>
          <w:sz w:val="19"/>
          <w:szCs w:val="19"/>
        </w:rPr>
        <w:t xml:space="preserve"> of the course of hypertension in patients during a large-scale invasion in Ukraine </w:t>
      </w:r>
    </w:p>
    <w:p w:rsidR="00D607CD" w:rsidRDefault="001B586C">
      <w:pPr>
        <w:widowControl w:val="0"/>
        <w:pBdr>
          <w:top w:val="nil"/>
          <w:left w:val="nil"/>
          <w:bottom w:val="nil"/>
          <w:right w:val="nil"/>
          <w:between w:val="nil"/>
        </w:pBdr>
        <w:spacing w:before="48" w:line="233" w:lineRule="auto"/>
        <w:ind w:right="129"/>
        <w:jc w:val="both"/>
        <w:rPr>
          <w:color w:val="231F20"/>
          <w:sz w:val="17"/>
          <w:szCs w:val="17"/>
        </w:rPr>
      </w:pPr>
      <w:r>
        <w:rPr>
          <w:b/>
          <w:color w:val="231F20"/>
          <w:sz w:val="18"/>
          <w:szCs w:val="18"/>
        </w:rPr>
        <w:lastRenderedPageBreak/>
        <w:t xml:space="preserve">Abstract. </w:t>
      </w:r>
      <w:r>
        <w:rPr>
          <w:b/>
          <w:i/>
          <w:color w:val="231F20"/>
          <w:sz w:val="17"/>
          <w:szCs w:val="17"/>
        </w:rPr>
        <w:t xml:space="preserve">Background. </w:t>
      </w:r>
      <w:r>
        <w:rPr>
          <w:color w:val="231F20"/>
          <w:sz w:val="17"/>
          <w:szCs w:val="17"/>
        </w:rPr>
        <w:t xml:space="preserve">The purpose was to assess the influence  of various external factors and stress due to a large-scale mili tary invasion on the daily blood pressure profile. </w:t>
      </w:r>
      <w:r>
        <w:rPr>
          <w:b/>
          <w:i/>
          <w:color w:val="231F20"/>
          <w:sz w:val="17"/>
          <w:szCs w:val="17"/>
        </w:rPr>
        <w:t xml:space="preserve">Materials and  methods. </w:t>
      </w:r>
      <w:r>
        <w:rPr>
          <w:color w:val="231F20"/>
          <w:sz w:val="17"/>
          <w:szCs w:val="17"/>
        </w:rPr>
        <w:t>This was a retrospective analysis of examined patients  who underwent ambul</w:t>
      </w:r>
      <w:r>
        <w:rPr>
          <w:color w:val="231F20"/>
          <w:sz w:val="17"/>
          <w:szCs w:val="17"/>
        </w:rPr>
        <w:t>atory blood pressure monitoring in the  last 5 years. We conditionally divided the observation period  into several time intervals: “War”, “Before the war”, “Covid”,  and “Peace” groups, 20 patients in each who were selected  by the method of random number</w:t>
      </w:r>
      <w:r>
        <w:rPr>
          <w:color w:val="231F20"/>
          <w:sz w:val="17"/>
          <w:szCs w:val="17"/>
        </w:rPr>
        <w:t xml:space="preserve">s. All patients underwent  ambulatory blood pressure monitoring using the WatchBP  O3 device (Microlife AG, Switzerland). The database was  formed, and statistical analysis of the results was carried  out using the IBM SPSS 26.0 software package. </w:t>
      </w:r>
      <w:r>
        <w:rPr>
          <w:b/>
          <w:i/>
          <w:color w:val="231F20"/>
          <w:sz w:val="17"/>
          <w:szCs w:val="17"/>
        </w:rPr>
        <w:t xml:space="preserve">Results. </w:t>
      </w:r>
      <w:r>
        <w:rPr>
          <w:color w:val="231F20"/>
          <w:sz w:val="17"/>
          <w:szCs w:val="17"/>
        </w:rPr>
        <w:t xml:space="preserve">All  groups were comparable in terms of the age, gender, average  daily blood pressure and heart rate parameters of participants.  Patients were middle-aged, the number of men and women  was equal in all groups, groups were comparable according  </w:t>
      </w:r>
    </w:p>
    <w:p w:rsidR="00D607CD" w:rsidRDefault="001B586C">
      <w:pPr>
        <w:widowControl w:val="0"/>
        <w:pBdr>
          <w:top w:val="nil"/>
          <w:left w:val="nil"/>
          <w:bottom w:val="nil"/>
          <w:right w:val="nil"/>
          <w:between w:val="nil"/>
        </w:pBdr>
        <w:spacing w:before="5" w:line="234" w:lineRule="auto"/>
        <w:ind w:left="112" w:right="20" w:firstLine="1"/>
        <w:jc w:val="both"/>
        <w:rPr>
          <w:color w:val="231F20"/>
          <w:sz w:val="17"/>
          <w:szCs w:val="17"/>
        </w:rPr>
      </w:pPr>
      <w:r>
        <w:rPr>
          <w:color w:val="231F20"/>
          <w:sz w:val="17"/>
          <w:szCs w:val="17"/>
        </w:rPr>
        <w:lastRenderedPageBreak/>
        <w:t>to the re</w:t>
      </w:r>
      <w:r>
        <w:rPr>
          <w:color w:val="231F20"/>
          <w:sz w:val="17"/>
          <w:szCs w:val="17"/>
        </w:rPr>
        <w:t>sults of average daily systolic (SBP), diastolic blood  pressure (DBP), pulse pressure and heart rate. We found that  “War” group had a significantly lower percentage of SBP and  DBP decrease at night compared to other groups (7.6 ± 1.3 %  for SBP and 10.2</w:t>
      </w:r>
      <w:r>
        <w:rPr>
          <w:color w:val="231F20"/>
          <w:sz w:val="17"/>
          <w:szCs w:val="17"/>
        </w:rPr>
        <w:t xml:space="preserve"> ± 1.4 % for DBP). The standard deviation  of SBP and DBP was significantly higher in “Before the war”  group (19.8 ± 1.1 and 14.2 ± 0.7, respectively) compared to  “War” (16.0 ± 0.9 and 11.7 ± 0.6, respectively) and “Covid”  groups (16.2 ± 0.7 and 11.8 ± </w:t>
      </w:r>
      <w:r>
        <w:rPr>
          <w:color w:val="231F20"/>
          <w:sz w:val="17"/>
          <w:szCs w:val="17"/>
        </w:rPr>
        <w:t xml:space="preserve">0.7, respectively). The highest  frequency of non-dippers for SBP and DBP was observed in  “War” group (60 and 45 %, respectively). </w:t>
      </w:r>
      <w:r>
        <w:rPr>
          <w:b/>
          <w:i/>
          <w:color w:val="231F20"/>
          <w:sz w:val="17"/>
          <w:szCs w:val="17"/>
        </w:rPr>
        <w:t xml:space="preserve">Conclusions. </w:t>
      </w:r>
      <w:r>
        <w:rPr>
          <w:color w:val="231F20"/>
          <w:sz w:val="17"/>
          <w:szCs w:val="17"/>
        </w:rPr>
        <w:t>During  the war, the reduction of SBP and DBP at night in hyperten sive patients was significantly lower than i</w:t>
      </w:r>
      <w:r>
        <w:rPr>
          <w:color w:val="231F20"/>
          <w:sz w:val="17"/>
          <w:szCs w:val="17"/>
        </w:rPr>
        <w:t xml:space="preserve">n “Before the war”,  “Covid”, and “Peace” groups. There was also a higher number  of non-dippers in this group. </w:t>
      </w:r>
    </w:p>
    <w:p w:rsidR="00D607CD" w:rsidRDefault="001B586C">
      <w:pPr>
        <w:widowControl w:val="0"/>
        <w:pBdr>
          <w:top w:val="nil"/>
          <w:left w:val="nil"/>
          <w:bottom w:val="nil"/>
          <w:right w:val="nil"/>
          <w:between w:val="nil"/>
        </w:pBdr>
        <w:spacing w:line="242" w:lineRule="auto"/>
        <w:ind w:left="113" w:right="73" w:firstLine="6"/>
        <w:rPr>
          <w:color w:val="231F20"/>
          <w:sz w:val="17"/>
          <w:szCs w:val="17"/>
        </w:rPr>
        <w:sectPr w:rsidR="00D607CD">
          <w:type w:val="continuous"/>
          <w:pgSz w:w="11440" w:h="16820"/>
          <w:pgMar w:top="1075" w:right="825" w:bottom="998" w:left="875" w:header="0" w:footer="720" w:gutter="0"/>
          <w:cols w:num="2" w:space="720" w:equalWidth="0">
            <w:col w:w="4880" w:space="0"/>
            <w:col w:w="4880" w:space="0"/>
          </w:cols>
        </w:sectPr>
      </w:pPr>
      <w:r>
        <w:rPr>
          <w:b/>
          <w:color w:val="231F20"/>
          <w:sz w:val="18"/>
          <w:szCs w:val="18"/>
        </w:rPr>
        <w:t xml:space="preserve">Keywords: </w:t>
      </w:r>
      <w:r>
        <w:rPr>
          <w:color w:val="231F20"/>
          <w:sz w:val="17"/>
          <w:szCs w:val="17"/>
        </w:rPr>
        <w:t>stress; hypertension; daily blood pressure moni toring</w:t>
      </w:r>
    </w:p>
    <w:p w:rsidR="00D607CD" w:rsidRDefault="001B586C">
      <w:pPr>
        <w:widowControl w:val="0"/>
        <w:pBdr>
          <w:top w:val="nil"/>
          <w:left w:val="nil"/>
          <w:bottom w:val="nil"/>
          <w:right w:val="nil"/>
          <w:between w:val="nil"/>
        </w:pBdr>
        <w:spacing w:before="9036" w:line="240" w:lineRule="auto"/>
        <w:jc w:val="center"/>
        <w:rPr>
          <w:color w:val="231F20"/>
          <w:sz w:val="18"/>
          <w:szCs w:val="18"/>
        </w:rPr>
      </w:pPr>
      <w:r>
        <w:rPr>
          <w:b/>
          <w:color w:val="231F20"/>
          <w:sz w:val="20"/>
          <w:szCs w:val="20"/>
        </w:rPr>
        <w:lastRenderedPageBreak/>
        <w:t xml:space="preserve">50 </w:t>
      </w:r>
      <w:r>
        <w:rPr>
          <w:color w:val="231F20"/>
          <w:sz w:val="19"/>
          <w:szCs w:val="19"/>
        </w:rPr>
        <w:t xml:space="preserve">Àðòåðiàëüíà ãiïåðòåíçiÿ, </w:t>
      </w:r>
      <w:r>
        <w:rPr>
          <w:color w:val="231F20"/>
          <w:sz w:val="15"/>
          <w:szCs w:val="15"/>
        </w:rPr>
        <w:t xml:space="preserve">ISSN 2224-1485 (print), ISSN 2307-1095 (online) </w:t>
      </w:r>
      <w:r>
        <w:rPr>
          <w:color w:val="231F20"/>
          <w:sz w:val="18"/>
          <w:szCs w:val="18"/>
        </w:rPr>
        <w:t xml:space="preserve">Том 16, N¹ 1–2, 2023 </w:t>
      </w:r>
    </w:p>
    <w:sectPr w:rsidR="00D607CD">
      <w:type w:val="continuous"/>
      <w:pgSz w:w="11440" w:h="16820"/>
      <w:pgMar w:top="1075" w:right="827" w:bottom="998" w:left="866" w:header="0" w:footer="720" w:gutter="0"/>
      <w:cols w:space="720" w:equalWidth="0">
        <w:col w:w="9746"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07CD"/>
    <w:rsid w:val="001B586C"/>
    <w:rsid w:val="00D607CD"/>
    <w:rsid w:val="00F96E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59385E3-10FB-47DB-BC9C-B2BF08292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5246</Words>
  <Characters>29907</Characters>
  <Application>Microsoft Office Word</Application>
  <DocSecurity>0</DocSecurity>
  <Lines>249</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2025-06-30T12:04:00Z</dcterms:created>
  <dcterms:modified xsi:type="dcterms:W3CDTF">2025-06-30T12:04:00Z</dcterms:modified>
</cp:coreProperties>
</file>