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1" w14:textId="77777777" w:rsidR="005534B5" w:rsidRDefault="006C3692">
      <w:pPr>
        <w:widowControl w:val="0"/>
        <w:pBdr>
          <w:top w:val="nil"/>
          <w:left w:val="nil"/>
          <w:bottom w:val="nil"/>
          <w:right w:val="nil"/>
          <w:between w:val="nil"/>
        </w:pBdr>
        <w:spacing w:line="388" w:lineRule="auto"/>
        <w:ind w:left="356" w:right="667" w:hanging="13"/>
        <w:rPr>
          <w:color w:val="005769"/>
          <w:sz w:val="14"/>
          <w:szCs w:val="14"/>
        </w:rPr>
      </w:pPr>
      <w:bookmarkStart w:id="0" w:name="_GoBack"/>
      <w:bookmarkEnd w:id="0"/>
      <w:r>
        <w:rPr>
          <w:color w:val="231F20"/>
          <w:sz w:val="36"/>
          <w:szCs w:val="36"/>
          <w:vertAlign w:val="subscript"/>
        </w:rPr>
        <w:t>53</w:t>
      </w:r>
      <w:r>
        <w:rPr>
          <w:color w:val="231F20"/>
        </w:rPr>
        <w:t xml:space="preserve"> </w:t>
      </w:r>
      <w:r>
        <w:rPr>
          <w:color w:val="005769"/>
          <w:sz w:val="14"/>
          <w:szCs w:val="14"/>
        </w:rPr>
        <w:t>С.О. Прогонов та співавт. Кардіохірургія та інтервенційна кардіологія. 2024; Том 13, № 3 ISSN 2305-3127 (Print)•2664-3790 (Online). Кардіохірургія та інтервенційна кардіологія. 2024; Том 13, № 3. С. 53–63</w:t>
      </w:r>
    </w:p>
    <w:p w14:paraId="00000002" w14:textId="77777777" w:rsidR="005534B5" w:rsidRDefault="006C3692">
      <w:pPr>
        <w:widowControl w:val="0"/>
        <w:pBdr>
          <w:top w:val="nil"/>
          <w:left w:val="nil"/>
          <w:bottom w:val="nil"/>
          <w:right w:val="nil"/>
          <w:between w:val="nil"/>
        </w:pBdr>
        <w:spacing w:before="154" w:line="240" w:lineRule="auto"/>
        <w:ind w:right="228"/>
        <w:jc w:val="right"/>
        <w:rPr>
          <w:color w:val="FFFFFF"/>
          <w:sz w:val="18"/>
          <w:szCs w:val="18"/>
        </w:rPr>
      </w:pPr>
      <w:r>
        <w:rPr>
          <w:color w:val="FFFFFF"/>
          <w:sz w:val="30"/>
          <w:szCs w:val="30"/>
          <w:vertAlign w:val="subscript"/>
        </w:rPr>
        <w:t>ОРИГІНАЛЬНІ</w:t>
      </w:r>
      <w:r>
        <w:rPr>
          <w:color w:val="FFFFFF"/>
          <w:sz w:val="18"/>
          <w:szCs w:val="18"/>
        </w:rPr>
        <w:t xml:space="preserve">  </w:t>
      </w:r>
    </w:p>
    <w:p w14:paraId="00000003" w14:textId="77777777" w:rsidR="005534B5" w:rsidRDefault="006C3692">
      <w:pPr>
        <w:widowControl w:val="0"/>
        <w:pBdr>
          <w:top w:val="nil"/>
          <w:left w:val="nil"/>
          <w:bottom w:val="nil"/>
          <w:right w:val="nil"/>
          <w:between w:val="nil"/>
        </w:pBdr>
        <w:spacing w:line="240" w:lineRule="auto"/>
        <w:ind w:right="-8"/>
        <w:jc w:val="right"/>
        <w:rPr>
          <w:color w:val="FFFFFF"/>
          <w:sz w:val="18"/>
          <w:szCs w:val="18"/>
        </w:rPr>
      </w:pPr>
      <w:r>
        <w:rPr>
          <w:color w:val="FFFFFF"/>
          <w:sz w:val="30"/>
          <w:szCs w:val="30"/>
          <w:vertAlign w:val="subscript"/>
        </w:rPr>
        <w:t>ДОСЛІДЖЕНН</w:t>
      </w:r>
      <w:r>
        <w:rPr>
          <w:color w:val="FFFFFF"/>
          <w:sz w:val="18"/>
          <w:szCs w:val="18"/>
        </w:rPr>
        <w:t xml:space="preserve">Я </w:t>
      </w:r>
    </w:p>
    <w:p w14:paraId="00000004" w14:textId="77777777" w:rsidR="005534B5" w:rsidRDefault="006C3692">
      <w:pPr>
        <w:widowControl w:val="0"/>
        <w:pBdr>
          <w:top w:val="nil"/>
          <w:left w:val="nil"/>
          <w:bottom w:val="nil"/>
          <w:right w:val="nil"/>
          <w:between w:val="nil"/>
        </w:pBdr>
        <w:spacing w:line="240" w:lineRule="auto"/>
        <w:ind w:left="346"/>
        <w:rPr>
          <w:color w:val="231F20"/>
          <w:sz w:val="18"/>
          <w:szCs w:val="18"/>
        </w:rPr>
      </w:pPr>
      <w:r>
        <w:rPr>
          <w:color w:val="231F20"/>
          <w:sz w:val="18"/>
          <w:szCs w:val="18"/>
        </w:rPr>
        <w:t xml:space="preserve">УДК 616.12-008.331.1:616.24-008.4+616-033.1 DOI: http://doi.org/10.31928/2664-3790-2024.3.5363 </w:t>
      </w:r>
    </w:p>
    <w:p w14:paraId="00000005" w14:textId="77777777" w:rsidR="005534B5" w:rsidRDefault="006C3692">
      <w:pPr>
        <w:widowControl w:val="0"/>
        <w:pBdr>
          <w:top w:val="nil"/>
          <w:left w:val="nil"/>
          <w:bottom w:val="nil"/>
          <w:right w:val="nil"/>
          <w:between w:val="nil"/>
        </w:pBdr>
        <w:spacing w:before="172" w:line="240" w:lineRule="auto"/>
        <w:ind w:left="2380"/>
        <w:rPr>
          <w:b/>
          <w:color w:val="231F20"/>
          <w:sz w:val="24"/>
          <w:szCs w:val="24"/>
        </w:rPr>
      </w:pPr>
      <w:r>
        <w:rPr>
          <w:color w:val="231F20"/>
          <w:sz w:val="30"/>
          <w:szCs w:val="30"/>
          <w:vertAlign w:val="subscript"/>
        </w:rPr>
        <w:t xml:space="preserve"> </w:t>
      </w:r>
      <w:r>
        <w:rPr>
          <w:b/>
          <w:color w:val="231F20"/>
          <w:sz w:val="40"/>
          <w:szCs w:val="40"/>
          <w:vertAlign w:val="subscript"/>
        </w:rPr>
        <w:t>С.О. Прогонов</w:t>
      </w:r>
      <w:r>
        <w:rPr>
          <w:b/>
          <w:color w:val="231F20"/>
          <w:sz w:val="40"/>
          <w:szCs w:val="40"/>
          <w:vertAlign w:val="superscript"/>
        </w:rPr>
        <w:t xml:space="preserve"> </w:t>
      </w:r>
      <w:r>
        <w:rPr>
          <w:color w:val="231F20"/>
          <w:sz w:val="27"/>
          <w:szCs w:val="27"/>
          <w:vertAlign w:val="superscript"/>
        </w:rPr>
        <w:t>1</w:t>
      </w:r>
      <w:r>
        <w:rPr>
          <w:b/>
          <w:color w:val="231F20"/>
          <w:sz w:val="40"/>
          <w:szCs w:val="40"/>
          <w:vertAlign w:val="subscript"/>
        </w:rPr>
        <w:t>, О.О. Торбас</w:t>
      </w:r>
      <w:r>
        <w:rPr>
          <w:b/>
          <w:color w:val="231F20"/>
          <w:sz w:val="40"/>
          <w:szCs w:val="40"/>
          <w:vertAlign w:val="superscript"/>
        </w:rPr>
        <w:t xml:space="preserve"> </w:t>
      </w:r>
      <w:r>
        <w:rPr>
          <w:color w:val="231F20"/>
          <w:sz w:val="27"/>
          <w:szCs w:val="27"/>
          <w:vertAlign w:val="superscript"/>
        </w:rPr>
        <w:t>1</w:t>
      </w:r>
      <w:r>
        <w:rPr>
          <w:b/>
          <w:color w:val="231F20"/>
          <w:sz w:val="40"/>
          <w:szCs w:val="40"/>
          <w:vertAlign w:val="subscript"/>
        </w:rPr>
        <w:t>, С.М. Кушнір</w:t>
      </w:r>
      <w:r>
        <w:rPr>
          <w:b/>
          <w:color w:val="231F20"/>
          <w:sz w:val="40"/>
          <w:szCs w:val="40"/>
          <w:vertAlign w:val="superscript"/>
        </w:rPr>
        <w:t xml:space="preserve"> </w:t>
      </w:r>
      <w:r>
        <w:rPr>
          <w:color w:val="231F20"/>
          <w:sz w:val="27"/>
          <w:szCs w:val="27"/>
          <w:vertAlign w:val="superscript"/>
        </w:rPr>
        <w:t>1</w:t>
      </w:r>
      <w:r>
        <w:rPr>
          <w:b/>
          <w:color w:val="231F20"/>
          <w:sz w:val="24"/>
          <w:szCs w:val="24"/>
        </w:rPr>
        <w:t xml:space="preserve">, </w:t>
      </w:r>
    </w:p>
    <w:p w14:paraId="00000006" w14:textId="77777777" w:rsidR="005534B5" w:rsidRDefault="006C3692">
      <w:pPr>
        <w:widowControl w:val="0"/>
        <w:pBdr>
          <w:top w:val="nil"/>
          <w:left w:val="nil"/>
          <w:bottom w:val="nil"/>
          <w:right w:val="nil"/>
          <w:between w:val="nil"/>
        </w:pBdr>
        <w:spacing w:line="240" w:lineRule="auto"/>
        <w:ind w:left="3217"/>
        <w:rPr>
          <w:color w:val="231F20"/>
          <w:sz w:val="16"/>
          <w:szCs w:val="16"/>
        </w:rPr>
      </w:pPr>
      <w:r>
        <w:rPr>
          <w:b/>
          <w:color w:val="231F20"/>
          <w:sz w:val="40"/>
          <w:szCs w:val="40"/>
          <w:vertAlign w:val="subscript"/>
        </w:rPr>
        <w:t xml:space="preserve"> Ю.М. Сіренко</w:t>
      </w:r>
      <w:r>
        <w:rPr>
          <w:b/>
          <w:color w:val="231F20"/>
          <w:sz w:val="40"/>
          <w:szCs w:val="40"/>
          <w:vertAlign w:val="superscript"/>
        </w:rPr>
        <w:t xml:space="preserve"> </w:t>
      </w:r>
      <w:r>
        <w:rPr>
          <w:color w:val="231F20"/>
          <w:sz w:val="27"/>
          <w:szCs w:val="27"/>
          <w:vertAlign w:val="superscript"/>
        </w:rPr>
        <w:t>2</w:t>
      </w:r>
      <w:r>
        <w:rPr>
          <w:b/>
          <w:color w:val="231F20"/>
          <w:sz w:val="40"/>
          <w:szCs w:val="40"/>
          <w:vertAlign w:val="subscript"/>
        </w:rPr>
        <w:t>, Г.Д. Радченко</w:t>
      </w:r>
      <w:r>
        <w:rPr>
          <w:b/>
          <w:color w:val="231F20"/>
          <w:sz w:val="24"/>
          <w:szCs w:val="24"/>
        </w:rPr>
        <w:t xml:space="preserve"> </w:t>
      </w:r>
      <w:r>
        <w:rPr>
          <w:color w:val="231F20"/>
          <w:sz w:val="16"/>
          <w:szCs w:val="16"/>
        </w:rPr>
        <w:t xml:space="preserve">1 </w:t>
      </w:r>
    </w:p>
    <w:p w14:paraId="00000007" w14:textId="77777777" w:rsidR="005534B5" w:rsidRDefault="006C3692">
      <w:pPr>
        <w:widowControl w:val="0"/>
        <w:pBdr>
          <w:top w:val="nil"/>
          <w:left w:val="nil"/>
          <w:bottom w:val="nil"/>
          <w:right w:val="nil"/>
          <w:between w:val="nil"/>
        </w:pBdr>
        <w:spacing w:before="274" w:line="238" w:lineRule="auto"/>
        <w:ind w:left="534" w:right="781"/>
        <w:jc w:val="center"/>
        <w:rPr>
          <w:color w:val="231F20"/>
          <w:sz w:val="20"/>
          <w:szCs w:val="20"/>
        </w:rPr>
      </w:pPr>
      <w:r>
        <w:rPr>
          <w:color w:val="231F20"/>
          <w:sz w:val="23"/>
          <w:szCs w:val="23"/>
          <w:vertAlign w:val="superscript"/>
        </w:rPr>
        <w:t xml:space="preserve">1 </w:t>
      </w:r>
      <w:r>
        <w:rPr>
          <w:color w:val="231F20"/>
          <w:sz w:val="20"/>
          <w:szCs w:val="20"/>
        </w:rPr>
        <w:t xml:space="preserve">ДУ «Національний науковий центр «Інститут кардіології, клінічної та регенеративної </w:t>
      </w:r>
      <w:proofErr w:type="gramStart"/>
      <w:r>
        <w:rPr>
          <w:color w:val="231F20"/>
          <w:sz w:val="20"/>
          <w:szCs w:val="20"/>
        </w:rPr>
        <w:t>медицини  імені</w:t>
      </w:r>
      <w:proofErr w:type="gramEnd"/>
      <w:r>
        <w:rPr>
          <w:color w:val="231F20"/>
          <w:sz w:val="20"/>
          <w:szCs w:val="20"/>
        </w:rPr>
        <w:t xml:space="preserve"> акад. М.Д. Стражеска» НАМН України», Київ </w:t>
      </w:r>
    </w:p>
    <w:p w14:paraId="00000008" w14:textId="77777777" w:rsidR="005534B5" w:rsidRDefault="006C3692">
      <w:pPr>
        <w:widowControl w:val="0"/>
        <w:pBdr>
          <w:top w:val="nil"/>
          <w:left w:val="nil"/>
          <w:bottom w:val="nil"/>
          <w:right w:val="nil"/>
          <w:between w:val="nil"/>
        </w:pBdr>
        <w:spacing w:line="240" w:lineRule="auto"/>
        <w:ind w:left="1410"/>
        <w:rPr>
          <w:color w:val="231F20"/>
          <w:sz w:val="20"/>
          <w:szCs w:val="20"/>
        </w:rPr>
      </w:pPr>
      <w:r>
        <w:rPr>
          <w:color w:val="231F20"/>
          <w:sz w:val="23"/>
          <w:szCs w:val="23"/>
          <w:vertAlign w:val="superscript"/>
        </w:rPr>
        <w:t xml:space="preserve">2 </w:t>
      </w:r>
      <w:r>
        <w:rPr>
          <w:color w:val="231F20"/>
          <w:sz w:val="20"/>
          <w:szCs w:val="20"/>
        </w:rPr>
        <w:t xml:space="preserve">Національний університет охорони здоров’я України імені П.Л. Шупика, Київ  </w:t>
      </w:r>
    </w:p>
    <w:p w14:paraId="00000009" w14:textId="77777777" w:rsidR="005534B5" w:rsidRDefault="006C3692">
      <w:pPr>
        <w:widowControl w:val="0"/>
        <w:pBdr>
          <w:top w:val="nil"/>
          <w:left w:val="nil"/>
          <w:bottom w:val="nil"/>
          <w:right w:val="nil"/>
          <w:between w:val="nil"/>
        </w:pBdr>
        <w:spacing w:before="175" w:line="219" w:lineRule="auto"/>
        <w:ind w:left="457" w:right="660"/>
        <w:jc w:val="center"/>
        <w:rPr>
          <w:b/>
          <w:color w:val="005769"/>
          <w:sz w:val="40"/>
          <w:szCs w:val="40"/>
        </w:rPr>
      </w:pPr>
      <w:r>
        <w:rPr>
          <w:b/>
          <w:color w:val="005769"/>
          <w:sz w:val="40"/>
          <w:szCs w:val="40"/>
        </w:rPr>
        <w:t xml:space="preserve">Функція зовнішнього дихання та </w:t>
      </w:r>
      <w:proofErr w:type="gramStart"/>
      <w:r>
        <w:rPr>
          <w:b/>
          <w:color w:val="005769"/>
          <w:sz w:val="40"/>
          <w:szCs w:val="40"/>
        </w:rPr>
        <w:t>дифузійна  здатність</w:t>
      </w:r>
      <w:proofErr w:type="gramEnd"/>
      <w:r>
        <w:rPr>
          <w:b/>
          <w:color w:val="005769"/>
          <w:sz w:val="40"/>
          <w:szCs w:val="40"/>
        </w:rPr>
        <w:t xml:space="preserve"> легень у пацієнтів із різними  формами легеневої гіпертензії </w:t>
      </w:r>
    </w:p>
    <w:p w14:paraId="0000000A" w14:textId="77777777" w:rsidR="005534B5" w:rsidRDefault="006C3692">
      <w:pPr>
        <w:widowControl w:val="0"/>
        <w:pBdr>
          <w:top w:val="nil"/>
          <w:left w:val="nil"/>
          <w:bottom w:val="nil"/>
          <w:right w:val="nil"/>
          <w:between w:val="nil"/>
        </w:pBdr>
        <w:spacing w:before="472" w:line="266" w:lineRule="auto"/>
        <w:ind w:left="345" w:right="609" w:firstLine="406"/>
        <w:rPr>
          <w:color w:val="231F20"/>
          <w:sz w:val="18"/>
          <w:szCs w:val="18"/>
        </w:rPr>
      </w:pPr>
      <w:r>
        <w:rPr>
          <w:b/>
          <w:color w:val="231F20"/>
          <w:sz w:val="18"/>
          <w:szCs w:val="18"/>
        </w:rPr>
        <w:t xml:space="preserve">Мета роботи </w:t>
      </w:r>
      <w:r>
        <w:rPr>
          <w:color w:val="231F20"/>
          <w:sz w:val="18"/>
          <w:szCs w:val="18"/>
        </w:rPr>
        <w:t xml:space="preserve">– порівняти функції зовнішнього дихання (ФЗД) та дифузійної здатності легень за моноок сидом вуглецю (ДЗЛМВ) у пацієнтів із різними формами легеневої артеріальної гіпертензії (ЛАГ), </w:t>
      </w:r>
      <w:proofErr w:type="gramStart"/>
      <w:r>
        <w:rPr>
          <w:color w:val="231F20"/>
          <w:sz w:val="18"/>
          <w:szCs w:val="18"/>
        </w:rPr>
        <w:t>хронічною  тромбоемболічною</w:t>
      </w:r>
      <w:proofErr w:type="gramEnd"/>
      <w:r>
        <w:rPr>
          <w:color w:val="231F20"/>
          <w:sz w:val="18"/>
          <w:szCs w:val="18"/>
        </w:rPr>
        <w:t xml:space="preserve"> легеневою гіпертензією (ХТЕЛГ) та здорових осі</w:t>
      </w:r>
      <w:r>
        <w:rPr>
          <w:color w:val="231F20"/>
          <w:sz w:val="18"/>
          <w:szCs w:val="18"/>
        </w:rPr>
        <w:t xml:space="preserve">б, а також визначити кореляційні зв’язки  між показниками ФЗД, ДЗЛМВ та параметрами, що використовуються для стратифікації ризику смерті згідно з  рекомендаціями.  </w:t>
      </w:r>
    </w:p>
    <w:p w14:paraId="0000000B" w14:textId="77777777" w:rsidR="005534B5" w:rsidRDefault="006C3692">
      <w:pPr>
        <w:widowControl w:val="0"/>
        <w:pBdr>
          <w:top w:val="nil"/>
          <w:left w:val="nil"/>
          <w:bottom w:val="nil"/>
          <w:right w:val="nil"/>
          <w:between w:val="nil"/>
        </w:pBdr>
        <w:spacing w:before="9" w:line="266" w:lineRule="auto"/>
        <w:ind w:left="344" w:right="609" w:firstLine="407"/>
        <w:jc w:val="both"/>
        <w:rPr>
          <w:color w:val="231F20"/>
          <w:sz w:val="18"/>
          <w:szCs w:val="18"/>
        </w:rPr>
      </w:pPr>
      <w:r>
        <w:rPr>
          <w:b/>
          <w:color w:val="231F20"/>
          <w:sz w:val="18"/>
          <w:szCs w:val="18"/>
        </w:rPr>
        <w:t xml:space="preserve">Матеріали і методи. </w:t>
      </w:r>
      <w:r>
        <w:rPr>
          <w:color w:val="231F20"/>
          <w:sz w:val="18"/>
          <w:szCs w:val="18"/>
        </w:rPr>
        <w:t xml:space="preserve">У дослідження залучено 54 пацієнти: 18 – з ідіопатичною ЛАГ (ІЛАГ), 15 </w:t>
      </w:r>
      <w:r>
        <w:rPr>
          <w:color w:val="231F20"/>
          <w:sz w:val="18"/>
          <w:szCs w:val="18"/>
        </w:rPr>
        <w:t xml:space="preserve">– з </w:t>
      </w:r>
      <w:proofErr w:type="gramStart"/>
      <w:r>
        <w:rPr>
          <w:color w:val="231F20"/>
          <w:sz w:val="18"/>
          <w:szCs w:val="18"/>
        </w:rPr>
        <w:t>ЛАГ,  асоційованою</w:t>
      </w:r>
      <w:proofErr w:type="gramEnd"/>
      <w:r>
        <w:rPr>
          <w:color w:val="231F20"/>
          <w:sz w:val="18"/>
          <w:szCs w:val="18"/>
        </w:rPr>
        <w:t xml:space="preserve"> із вродженими вадами серця (ЛАГ-ВВС), 21 – з ХТЕЛГ, та 20 здорових осіб (контрольна група). </w:t>
      </w:r>
      <w:proofErr w:type="gramStart"/>
      <w:r>
        <w:rPr>
          <w:color w:val="231F20"/>
          <w:sz w:val="18"/>
          <w:szCs w:val="18"/>
        </w:rPr>
        <w:t>В  усіх</w:t>
      </w:r>
      <w:proofErr w:type="gramEnd"/>
      <w:r>
        <w:rPr>
          <w:color w:val="231F20"/>
          <w:sz w:val="18"/>
          <w:szCs w:val="18"/>
        </w:rPr>
        <w:t xml:space="preserve"> учасників оцінювали ФЗД (життєва ємність легень (ЖЄЛ), форсовану життєву ємність легень (ФЖЄЛ), об’єм  форсованого видиху за 1 секунд</w:t>
      </w:r>
      <w:r>
        <w:rPr>
          <w:color w:val="231F20"/>
          <w:sz w:val="18"/>
          <w:szCs w:val="18"/>
        </w:rPr>
        <w:t xml:space="preserve">у (ОФВ1), пікову швидкість видиху (ПШВ), максимальні об’ємні швидкості видиху  (МОШ-75, МОШ-50, МОШ-25)) і вимірювали ДЗЛМВ. Пацієнтам із ЛГ проводили стандартне обстеження, зокре </w:t>
      </w:r>
    </w:p>
    <w:p w14:paraId="0000000C" w14:textId="77777777" w:rsidR="005534B5" w:rsidRDefault="006C3692">
      <w:pPr>
        <w:widowControl w:val="0"/>
        <w:pBdr>
          <w:top w:val="nil"/>
          <w:left w:val="nil"/>
          <w:bottom w:val="nil"/>
          <w:right w:val="nil"/>
          <w:between w:val="nil"/>
        </w:pBdr>
        <w:spacing w:before="9" w:line="266" w:lineRule="auto"/>
        <w:ind w:left="350" w:right="609" w:firstLine="7"/>
        <w:rPr>
          <w:color w:val="231F20"/>
          <w:sz w:val="18"/>
          <w:szCs w:val="18"/>
        </w:rPr>
      </w:pPr>
      <w:r>
        <w:rPr>
          <w:color w:val="231F20"/>
          <w:sz w:val="18"/>
          <w:szCs w:val="18"/>
        </w:rPr>
        <w:t xml:space="preserve">ма аналіз крові на N-кінцевий мозковий натрійуретичний пептид (N-КМНУП) та </w:t>
      </w:r>
      <w:r>
        <w:rPr>
          <w:color w:val="231F20"/>
          <w:sz w:val="18"/>
          <w:szCs w:val="18"/>
        </w:rPr>
        <w:t xml:space="preserve">катетеризацію правих </w:t>
      </w:r>
      <w:proofErr w:type="gramStart"/>
      <w:r>
        <w:rPr>
          <w:color w:val="231F20"/>
          <w:sz w:val="18"/>
          <w:szCs w:val="18"/>
        </w:rPr>
        <w:t>відділів  серця</w:t>
      </w:r>
      <w:proofErr w:type="gramEnd"/>
      <w:r>
        <w:rPr>
          <w:color w:val="231F20"/>
          <w:sz w:val="18"/>
          <w:szCs w:val="18"/>
        </w:rPr>
        <w:t xml:space="preserve">.  </w:t>
      </w:r>
    </w:p>
    <w:p w14:paraId="0000000D" w14:textId="77777777" w:rsidR="005534B5" w:rsidRDefault="006C3692">
      <w:pPr>
        <w:widowControl w:val="0"/>
        <w:pBdr>
          <w:top w:val="nil"/>
          <w:left w:val="nil"/>
          <w:bottom w:val="nil"/>
          <w:right w:val="nil"/>
          <w:between w:val="nil"/>
        </w:pBdr>
        <w:spacing w:before="9" w:line="248" w:lineRule="auto"/>
        <w:ind w:left="345" w:right="609" w:firstLine="406"/>
        <w:rPr>
          <w:color w:val="231F20"/>
          <w:sz w:val="18"/>
          <w:szCs w:val="18"/>
        </w:rPr>
      </w:pPr>
      <w:r>
        <w:rPr>
          <w:b/>
          <w:color w:val="231F20"/>
          <w:sz w:val="18"/>
          <w:szCs w:val="18"/>
        </w:rPr>
        <w:t xml:space="preserve">Результати. </w:t>
      </w:r>
      <w:r>
        <w:rPr>
          <w:rFonts w:ascii="Arial Unicode MS" w:eastAsia="Arial Unicode MS" w:hAnsi="Arial Unicode MS" w:cs="Arial Unicode MS"/>
          <w:color w:val="231F20"/>
          <w:sz w:val="18"/>
          <w:szCs w:val="18"/>
        </w:rPr>
        <w:t>При всіх формах ЛГ порівняно зі здоровими особами були статистично значущо нижчі показ ники ФЗД та ДЗЛМВ. Найгірші показники ФЗД спостерігали в групі пацієнтів із ЛАГ-ВВС. Найнижчу ДЗЛМВ спо стерігали при ХТЕЛГ. Порівняно з пацієнтами з ДЗЛМВ ≥ 64 % пацієн</w:t>
      </w:r>
      <w:r>
        <w:rPr>
          <w:rFonts w:ascii="Arial Unicode MS" w:eastAsia="Arial Unicode MS" w:hAnsi="Arial Unicode MS" w:cs="Arial Unicode MS"/>
          <w:color w:val="231F20"/>
          <w:sz w:val="18"/>
          <w:szCs w:val="18"/>
        </w:rPr>
        <w:t xml:space="preserve">ти з ЛГ та ДЗЛМВ &lt; 64 % мали </w:t>
      </w:r>
      <w:proofErr w:type="gramStart"/>
      <w:r>
        <w:rPr>
          <w:rFonts w:ascii="Arial Unicode MS" w:eastAsia="Arial Unicode MS" w:hAnsi="Arial Unicode MS" w:cs="Arial Unicode MS"/>
          <w:color w:val="231F20"/>
          <w:sz w:val="18"/>
          <w:szCs w:val="18"/>
        </w:rPr>
        <w:t>статистично  значущо</w:t>
      </w:r>
      <w:proofErr w:type="gramEnd"/>
      <w:r>
        <w:rPr>
          <w:rFonts w:ascii="Arial Unicode MS" w:eastAsia="Arial Unicode MS" w:hAnsi="Arial Unicode MS" w:cs="Arial Unicode MS"/>
          <w:color w:val="231F20"/>
          <w:sz w:val="18"/>
          <w:szCs w:val="18"/>
        </w:rPr>
        <w:t xml:space="preserve"> нижчі: дистанцію 6-хвилинного тесту (6ХТ) (p = 0,014), ТAPSE (р = 0,015), сатурацію О</w:t>
      </w:r>
      <w:r>
        <w:rPr>
          <w:color w:val="231F20"/>
          <w:sz w:val="21"/>
          <w:szCs w:val="21"/>
          <w:vertAlign w:val="subscript"/>
        </w:rPr>
        <w:t>2</w:t>
      </w:r>
      <w:r>
        <w:rPr>
          <w:color w:val="231F20"/>
          <w:sz w:val="12"/>
          <w:szCs w:val="12"/>
        </w:rPr>
        <w:t xml:space="preserve"> </w:t>
      </w:r>
      <w:r>
        <w:rPr>
          <w:color w:val="231F20"/>
          <w:sz w:val="18"/>
          <w:szCs w:val="18"/>
        </w:rPr>
        <w:t>при пульсокси метрії (SaО</w:t>
      </w:r>
      <w:r>
        <w:rPr>
          <w:color w:val="231F20"/>
          <w:sz w:val="21"/>
          <w:szCs w:val="21"/>
          <w:vertAlign w:val="subscript"/>
        </w:rPr>
        <w:t>2</w:t>
      </w:r>
      <w:r>
        <w:rPr>
          <w:color w:val="231F20"/>
          <w:sz w:val="18"/>
          <w:szCs w:val="18"/>
        </w:rPr>
        <w:t xml:space="preserve">) та прямому вимірюванні (відповідно р = 0,023 та р = 0,032), рівні гемоглобіну (р = 0,031). У </w:t>
      </w:r>
      <w:proofErr w:type="gramStart"/>
      <w:r>
        <w:rPr>
          <w:color w:val="231F20"/>
          <w:sz w:val="18"/>
          <w:szCs w:val="18"/>
        </w:rPr>
        <w:t>них  статистично</w:t>
      </w:r>
      <w:proofErr w:type="gramEnd"/>
      <w:r>
        <w:rPr>
          <w:color w:val="231F20"/>
          <w:sz w:val="18"/>
          <w:szCs w:val="18"/>
        </w:rPr>
        <w:t xml:space="preserve"> значущо вищим був рівень N-КМНУП (р = 0,012), вони були дещо старшими (р = 0,053). </w:t>
      </w:r>
      <w:proofErr w:type="gramStart"/>
      <w:r>
        <w:rPr>
          <w:color w:val="231F20"/>
          <w:sz w:val="18"/>
          <w:szCs w:val="18"/>
        </w:rPr>
        <w:t>Наявність  ДЗЛМВ</w:t>
      </w:r>
      <w:proofErr w:type="gramEnd"/>
      <w:r>
        <w:rPr>
          <w:color w:val="231F20"/>
          <w:sz w:val="18"/>
          <w:szCs w:val="18"/>
        </w:rPr>
        <w:t xml:space="preserve"> &lt; 64 % корелювала з рівнем гемоглобіну (r = </w:t>
      </w:r>
      <w:r>
        <w:rPr>
          <w:color w:val="231F20"/>
          <w:sz w:val="18"/>
          <w:szCs w:val="18"/>
        </w:rPr>
        <w:t>–0,31; p = 0,022), дистанцією 6-ХТ (r = –0,35; p = 0,012), SaО</w:t>
      </w:r>
      <w:r>
        <w:rPr>
          <w:color w:val="231F20"/>
          <w:sz w:val="21"/>
          <w:szCs w:val="21"/>
          <w:vertAlign w:val="subscript"/>
        </w:rPr>
        <w:t>2</w:t>
      </w:r>
      <w:r>
        <w:rPr>
          <w:color w:val="231F20"/>
          <w:sz w:val="12"/>
          <w:szCs w:val="12"/>
        </w:rPr>
        <w:t xml:space="preserve"> </w:t>
      </w:r>
      <w:r>
        <w:rPr>
          <w:color w:val="231F20"/>
          <w:sz w:val="18"/>
          <w:szCs w:val="18"/>
        </w:rPr>
        <w:t>(r = –0,29; p = 0,036) та TAPSE (r = –0,34, p = 0,012) та рівнем N-КМНУП (r = 0,27; p = 0,048). Незалежними пред икторами зниженої ДЗЛМВ були рівень гемоглобіну (</w:t>
      </w:r>
      <w:r>
        <w:rPr>
          <w:rFonts w:ascii="Times New Roman" w:eastAsia="Times New Roman" w:hAnsi="Times New Roman" w:cs="Times New Roman"/>
          <w:color w:val="231F20"/>
          <w:sz w:val="18"/>
          <w:szCs w:val="18"/>
        </w:rPr>
        <w:t xml:space="preserve">β </w:t>
      </w:r>
      <w:r>
        <w:rPr>
          <w:color w:val="231F20"/>
          <w:sz w:val="18"/>
          <w:szCs w:val="18"/>
        </w:rPr>
        <w:t>= 0,95; довірчий інтервал (Д</w:t>
      </w:r>
      <w:r>
        <w:rPr>
          <w:color w:val="231F20"/>
          <w:sz w:val="18"/>
          <w:szCs w:val="18"/>
        </w:rPr>
        <w:t>І) 0,90–0,99), SaО2 (</w:t>
      </w:r>
      <w:r>
        <w:rPr>
          <w:rFonts w:ascii="Times New Roman" w:eastAsia="Times New Roman" w:hAnsi="Times New Roman" w:cs="Times New Roman"/>
          <w:color w:val="231F20"/>
          <w:sz w:val="18"/>
          <w:szCs w:val="18"/>
        </w:rPr>
        <w:t xml:space="preserve">β </w:t>
      </w:r>
      <w:r>
        <w:rPr>
          <w:color w:val="231F20"/>
          <w:sz w:val="18"/>
          <w:szCs w:val="18"/>
        </w:rPr>
        <w:t xml:space="preserve">= 0,75; </w:t>
      </w:r>
      <w:proofErr w:type="gramStart"/>
      <w:r>
        <w:rPr>
          <w:color w:val="231F20"/>
          <w:sz w:val="18"/>
          <w:szCs w:val="18"/>
        </w:rPr>
        <w:t>ДІ  0</w:t>
      </w:r>
      <w:proofErr w:type="gramEnd"/>
      <w:r>
        <w:rPr>
          <w:color w:val="231F20"/>
          <w:sz w:val="18"/>
          <w:szCs w:val="18"/>
        </w:rPr>
        <w:t>,58–0,95) та TAPSE (</w:t>
      </w:r>
      <w:r>
        <w:rPr>
          <w:rFonts w:ascii="Times New Roman" w:eastAsia="Times New Roman" w:hAnsi="Times New Roman" w:cs="Times New Roman"/>
          <w:color w:val="231F20"/>
          <w:sz w:val="18"/>
          <w:szCs w:val="18"/>
        </w:rPr>
        <w:t xml:space="preserve">β </w:t>
      </w:r>
      <w:r>
        <w:rPr>
          <w:color w:val="231F20"/>
          <w:sz w:val="18"/>
          <w:szCs w:val="18"/>
        </w:rPr>
        <w:t xml:space="preserve">= 0,75; ДІ 0,63–0,91). </w:t>
      </w:r>
    </w:p>
    <w:p w14:paraId="0000000E" w14:textId="77777777" w:rsidR="005534B5" w:rsidRDefault="006C3692">
      <w:pPr>
        <w:widowControl w:val="0"/>
        <w:pBdr>
          <w:top w:val="nil"/>
          <w:left w:val="nil"/>
          <w:bottom w:val="nil"/>
          <w:right w:val="nil"/>
          <w:between w:val="nil"/>
        </w:pBdr>
        <w:spacing w:before="20" w:line="266" w:lineRule="auto"/>
        <w:ind w:left="345" w:right="609" w:firstLine="406"/>
        <w:jc w:val="both"/>
        <w:rPr>
          <w:color w:val="231F20"/>
          <w:sz w:val="18"/>
          <w:szCs w:val="18"/>
        </w:rPr>
      </w:pPr>
      <w:r>
        <w:rPr>
          <w:b/>
          <w:color w:val="231F20"/>
          <w:sz w:val="18"/>
          <w:szCs w:val="18"/>
        </w:rPr>
        <w:t xml:space="preserve">Висновки. </w:t>
      </w:r>
      <w:r>
        <w:rPr>
          <w:color w:val="231F20"/>
          <w:sz w:val="18"/>
          <w:szCs w:val="18"/>
        </w:rPr>
        <w:t xml:space="preserve">Показники ФЗД та ДЗЛМВ були статистично значущо нижчими в пацієнтів усіх груп </w:t>
      </w:r>
      <w:proofErr w:type="gramStart"/>
      <w:r>
        <w:rPr>
          <w:color w:val="231F20"/>
          <w:sz w:val="18"/>
          <w:szCs w:val="18"/>
        </w:rPr>
        <w:t>ЛГ  порівняно</w:t>
      </w:r>
      <w:proofErr w:type="gramEnd"/>
      <w:r>
        <w:rPr>
          <w:color w:val="231F20"/>
          <w:sz w:val="18"/>
          <w:szCs w:val="18"/>
        </w:rPr>
        <w:t xml:space="preserve"> зі здоровими особами. Найгірші показники ФЗД мали пацієнти з ЛАГ-ВВС. У загальній </w:t>
      </w:r>
      <w:proofErr w:type="gramStart"/>
      <w:r>
        <w:rPr>
          <w:color w:val="231F20"/>
          <w:sz w:val="18"/>
          <w:szCs w:val="18"/>
        </w:rPr>
        <w:t>популяції  пацієнтів</w:t>
      </w:r>
      <w:proofErr w:type="gramEnd"/>
      <w:r>
        <w:rPr>
          <w:color w:val="231F20"/>
          <w:sz w:val="18"/>
          <w:szCs w:val="18"/>
        </w:rPr>
        <w:t xml:space="preserve"> із ЛГ показники ФЗД, які характеризують можливості вдиху, нез</w:t>
      </w:r>
      <w:r>
        <w:rPr>
          <w:color w:val="231F20"/>
          <w:sz w:val="18"/>
          <w:szCs w:val="18"/>
        </w:rPr>
        <w:t xml:space="preserve">алежно корелювали з площею  правого передсердя, а показники, що характеризують можливості видиху, – із наявністю ВВС. </w:t>
      </w:r>
      <w:proofErr w:type="gramStart"/>
      <w:r>
        <w:rPr>
          <w:color w:val="231F20"/>
          <w:sz w:val="18"/>
          <w:szCs w:val="18"/>
        </w:rPr>
        <w:t>Знижена  ДЗЛМВ</w:t>
      </w:r>
      <w:proofErr w:type="gramEnd"/>
      <w:r>
        <w:rPr>
          <w:color w:val="231F20"/>
          <w:sz w:val="18"/>
          <w:szCs w:val="18"/>
        </w:rPr>
        <w:t xml:space="preserve"> (&lt; 64 %) корелювала з рівнем гемоглобіну, SaО</w:t>
      </w:r>
      <w:r>
        <w:rPr>
          <w:color w:val="231F20"/>
          <w:sz w:val="21"/>
          <w:szCs w:val="21"/>
          <w:vertAlign w:val="subscript"/>
        </w:rPr>
        <w:t>2</w:t>
      </w:r>
      <w:r>
        <w:rPr>
          <w:color w:val="231F20"/>
          <w:sz w:val="12"/>
          <w:szCs w:val="12"/>
        </w:rPr>
        <w:t xml:space="preserve"> </w:t>
      </w:r>
      <w:r>
        <w:rPr>
          <w:color w:val="231F20"/>
          <w:sz w:val="18"/>
          <w:szCs w:val="18"/>
        </w:rPr>
        <w:t xml:space="preserve">та показниками, які характеризують функціональ </w:t>
      </w:r>
    </w:p>
    <w:p w14:paraId="0000000F" w14:textId="77777777" w:rsidR="005534B5" w:rsidRDefault="006C3692">
      <w:pPr>
        <w:widowControl w:val="0"/>
        <w:pBdr>
          <w:top w:val="nil"/>
          <w:left w:val="nil"/>
          <w:bottom w:val="nil"/>
          <w:right w:val="nil"/>
          <w:between w:val="nil"/>
        </w:pBdr>
        <w:spacing w:line="266" w:lineRule="auto"/>
        <w:ind w:left="357" w:right="658"/>
        <w:rPr>
          <w:color w:val="231F20"/>
          <w:sz w:val="18"/>
          <w:szCs w:val="18"/>
        </w:rPr>
      </w:pPr>
      <w:r>
        <w:rPr>
          <w:color w:val="231F20"/>
          <w:sz w:val="18"/>
          <w:szCs w:val="18"/>
        </w:rPr>
        <w:t>ний стан пацієнта. Проте нез</w:t>
      </w:r>
      <w:r>
        <w:rPr>
          <w:color w:val="231F20"/>
          <w:sz w:val="18"/>
          <w:szCs w:val="18"/>
        </w:rPr>
        <w:t>алежними предикторами наявності низької ДЗЛМВ були знижені рівні гемо глобіну, SaО</w:t>
      </w:r>
      <w:r>
        <w:rPr>
          <w:color w:val="231F20"/>
          <w:sz w:val="21"/>
          <w:szCs w:val="21"/>
          <w:vertAlign w:val="subscript"/>
        </w:rPr>
        <w:t>2</w:t>
      </w:r>
      <w:r>
        <w:rPr>
          <w:color w:val="231F20"/>
          <w:sz w:val="12"/>
          <w:szCs w:val="12"/>
        </w:rPr>
        <w:t xml:space="preserve"> </w:t>
      </w:r>
      <w:r>
        <w:rPr>
          <w:color w:val="231F20"/>
          <w:sz w:val="18"/>
          <w:szCs w:val="18"/>
        </w:rPr>
        <w:t xml:space="preserve">та ТАPSE. </w:t>
      </w:r>
    </w:p>
    <w:p w14:paraId="00000010" w14:textId="77777777" w:rsidR="005534B5" w:rsidRDefault="006C3692">
      <w:pPr>
        <w:widowControl w:val="0"/>
        <w:pBdr>
          <w:top w:val="nil"/>
          <w:left w:val="nil"/>
          <w:bottom w:val="nil"/>
          <w:right w:val="nil"/>
          <w:between w:val="nil"/>
        </w:pBdr>
        <w:spacing w:before="116" w:line="239" w:lineRule="auto"/>
        <w:ind w:left="357" w:right="658" w:firstLine="394"/>
        <w:rPr>
          <w:color w:val="231F20"/>
          <w:sz w:val="18"/>
          <w:szCs w:val="18"/>
        </w:rPr>
        <w:sectPr w:rsidR="005534B5">
          <w:pgSz w:w="12180" w:h="16440"/>
          <w:pgMar w:top="1170" w:right="756" w:bottom="1145" w:left="790" w:header="0" w:footer="720" w:gutter="0"/>
          <w:pgNumType w:start="1"/>
          <w:cols w:space="720"/>
        </w:sectPr>
      </w:pPr>
      <w:r>
        <w:rPr>
          <w:b/>
          <w:color w:val="231F20"/>
          <w:sz w:val="18"/>
          <w:szCs w:val="18"/>
        </w:rPr>
        <w:t xml:space="preserve">Ключові слова: </w:t>
      </w:r>
      <w:r>
        <w:rPr>
          <w:color w:val="231F20"/>
          <w:sz w:val="18"/>
          <w:szCs w:val="18"/>
        </w:rPr>
        <w:t xml:space="preserve">легенева артеріальна гіпертензія, хронічна тромбоемболічна легенева гіпертензія, функ ція зовнішнього дихання, спірометрія, дифузійна здатність легень за моноксидом вуглецю. </w:t>
      </w:r>
    </w:p>
    <w:p w14:paraId="00000011" w14:textId="77777777" w:rsidR="005534B5" w:rsidRDefault="006C3692">
      <w:pPr>
        <w:widowControl w:val="0"/>
        <w:pBdr>
          <w:top w:val="nil"/>
          <w:left w:val="nil"/>
          <w:bottom w:val="nil"/>
          <w:right w:val="nil"/>
          <w:between w:val="nil"/>
        </w:pBdr>
        <w:spacing w:before="458" w:line="213" w:lineRule="auto"/>
        <w:ind w:right="156" w:firstLine="11"/>
        <w:rPr>
          <w:color w:val="231F20"/>
          <w:sz w:val="14"/>
          <w:szCs w:val="14"/>
        </w:rPr>
      </w:pPr>
      <w:r>
        <w:rPr>
          <w:color w:val="231F20"/>
          <w:sz w:val="14"/>
          <w:szCs w:val="14"/>
        </w:rPr>
        <w:lastRenderedPageBreak/>
        <w:t xml:space="preserve">Прогонов Сергій Олександрович, аспірант відділу </w:t>
      </w:r>
      <w:proofErr w:type="gramStart"/>
      <w:r>
        <w:rPr>
          <w:color w:val="231F20"/>
          <w:sz w:val="14"/>
          <w:szCs w:val="14"/>
        </w:rPr>
        <w:t>вторинних  та</w:t>
      </w:r>
      <w:proofErr w:type="gramEnd"/>
      <w:r>
        <w:rPr>
          <w:color w:val="231F20"/>
          <w:sz w:val="14"/>
          <w:szCs w:val="14"/>
        </w:rPr>
        <w:t xml:space="preserve"> легеневих гіпертенз</w:t>
      </w:r>
      <w:r>
        <w:rPr>
          <w:color w:val="231F20"/>
          <w:sz w:val="14"/>
          <w:szCs w:val="14"/>
        </w:rPr>
        <w:t xml:space="preserve">ій </w:t>
      </w:r>
    </w:p>
    <w:p w14:paraId="00000012" w14:textId="77777777" w:rsidR="005534B5" w:rsidRDefault="006C3692">
      <w:pPr>
        <w:widowControl w:val="0"/>
        <w:pBdr>
          <w:top w:val="nil"/>
          <w:left w:val="nil"/>
          <w:bottom w:val="nil"/>
          <w:right w:val="nil"/>
          <w:between w:val="nil"/>
        </w:pBdr>
        <w:spacing w:line="240" w:lineRule="auto"/>
        <w:ind w:left="6"/>
        <w:rPr>
          <w:color w:val="231F20"/>
          <w:sz w:val="14"/>
          <w:szCs w:val="14"/>
        </w:rPr>
      </w:pPr>
      <w:r>
        <w:rPr>
          <w:color w:val="231F20"/>
          <w:sz w:val="14"/>
          <w:szCs w:val="14"/>
        </w:rPr>
        <w:lastRenderedPageBreak/>
        <w:t xml:space="preserve">ORCID ID: 0009-0000-8851-3115 </w:t>
      </w:r>
    </w:p>
    <w:p w14:paraId="00000013" w14:textId="77777777" w:rsidR="005534B5" w:rsidRDefault="006C3692">
      <w:pPr>
        <w:widowControl w:val="0"/>
        <w:pBdr>
          <w:top w:val="nil"/>
          <w:left w:val="nil"/>
          <w:bottom w:val="nil"/>
          <w:right w:val="nil"/>
          <w:between w:val="nil"/>
        </w:pBdr>
        <w:spacing w:line="240" w:lineRule="auto"/>
        <w:ind w:left="11"/>
        <w:rPr>
          <w:color w:val="231F20"/>
          <w:sz w:val="14"/>
          <w:szCs w:val="14"/>
        </w:rPr>
      </w:pPr>
      <w:r>
        <w:rPr>
          <w:color w:val="231F20"/>
          <w:sz w:val="14"/>
          <w:szCs w:val="14"/>
        </w:rPr>
        <w:t xml:space="preserve">E-mail: prohonov.physician@gmail.com  </w:t>
      </w:r>
    </w:p>
    <w:p w14:paraId="00000014" w14:textId="77777777" w:rsidR="005534B5" w:rsidRDefault="006C3692">
      <w:pPr>
        <w:widowControl w:val="0"/>
        <w:pBdr>
          <w:top w:val="nil"/>
          <w:left w:val="nil"/>
          <w:bottom w:val="nil"/>
          <w:right w:val="nil"/>
          <w:between w:val="nil"/>
        </w:pBdr>
        <w:spacing w:before="14" w:line="240" w:lineRule="auto"/>
        <w:ind w:left="6"/>
        <w:rPr>
          <w:color w:val="231F20"/>
          <w:sz w:val="14"/>
          <w:szCs w:val="14"/>
        </w:rPr>
      </w:pPr>
      <w:r>
        <w:rPr>
          <w:color w:val="231F20"/>
          <w:sz w:val="14"/>
          <w:szCs w:val="14"/>
        </w:rPr>
        <w:t xml:space="preserve">Стаття надійшла до редакції 6 листопада 2024 року </w:t>
      </w:r>
    </w:p>
    <w:p w14:paraId="00000015" w14:textId="77777777" w:rsidR="005534B5" w:rsidRDefault="006C3692">
      <w:pPr>
        <w:widowControl w:val="0"/>
        <w:pBdr>
          <w:top w:val="nil"/>
          <w:left w:val="nil"/>
          <w:bottom w:val="nil"/>
          <w:right w:val="nil"/>
          <w:between w:val="nil"/>
        </w:pBdr>
        <w:spacing w:line="213" w:lineRule="auto"/>
        <w:ind w:left="523" w:right="19" w:firstLine="5"/>
        <w:rPr>
          <w:color w:val="231F20"/>
          <w:sz w:val="14"/>
          <w:szCs w:val="14"/>
        </w:rPr>
      </w:pPr>
      <w:r>
        <w:rPr>
          <w:color w:val="231F20"/>
          <w:sz w:val="14"/>
          <w:szCs w:val="14"/>
        </w:rPr>
        <w:t xml:space="preserve">Prohonov Serhii, postgraduate student of the </w:t>
      </w:r>
      <w:proofErr w:type="gramStart"/>
      <w:r>
        <w:rPr>
          <w:color w:val="231F20"/>
          <w:sz w:val="14"/>
          <w:szCs w:val="14"/>
        </w:rPr>
        <w:t>Department  of</w:t>
      </w:r>
      <w:proofErr w:type="gramEnd"/>
      <w:r>
        <w:rPr>
          <w:color w:val="231F20"/>
          <w:sz w:val="14"/>
          <w:szCs w:val="14"/>
        </w:rPr>
        <w:t xml:space="preserve"> secondary and pulmonary hypertension </w:t>
      </w:r>
    </w:p>
    <w:p w14:paraId="00000016" w14:textId="77777777" w:rsidR="005534B5" w:rsidRDefault="006C3692">
      <w:pPr>
        <w:widowControl w:val="0"/>
        <w:pBdr>
          <w:top w:val="nil"/>
          <w:left w:val="nil"/>
          <w:bottom w:val="nil"/>
          <w:right w:val="nil"/>
          <w:between w:val="nil"/>
        </w:pBdr>
        <w:spacing w:line="240" w:lineRule="auto"/>
        <w:ind w:left="524"/>
        <w:rPr>
          <w:color w:val="231F20"/>
          <w:sz w:val="14"/>
          <w:szCs w:val="14"/>
        </w:rPr>
      </w:pPr>
      <w:r>
        <w:rPr>
          <w:color w:val="231F20"/>
          <w:sz w:val="14"/>
          <w:szCs w:val="14"/>
        </w:rPr>
        <w:lastRenderedPageBreak/>
        <w:t xml:space="preserve">ORCID ID: 0009-0000-8851-3115 </w:t>
      </w:r>
    </w:p>
    <w:p w14:paraId="00000017" w14:textId="77777777" w:rsidR="005534B5" w:rsidRDefault="006C3692">
      <w:pPr>
        <w:widowControl w:val="0"/>
        <w:pBdr>
          <w:top w:val="nil"/>
          <w:left w:val="nil"/>
          <w:bottom w:val="nil"/>
          <w:right w:val="nil"/>
          <w:between w:val="nil"/>
        </w:pBdr>
        <w:spacing w:line="240" w:lineRule="auto"/>
        <w:ind w:left="530"/>
        <w:rPr>
          <w:color w:val="231F20"/>
          <w:sz w:val="14"/>
          <w:szCs w:val="14"/>
        </w:rPr>
      </w:pPr>
      <w:r>
        <w:rPr>
          <w:color w:val="231F20"/>
          <w:sz w:val="14"/>
          <w:szCs w:val="14"/>
        </w:rPr>
        <w:t xml:space="preserve">E-mail: prohonov.physician@gmail.com  </w:t>
      </w:r>
    </w:p>
    <w:p w14:paraId="00000018" w14:textId="77777777" w:rsidR="005534B5" w:rsidRDefault="006C3692">
      <w:pPr>
        <w:widowControl w:val="0"/>
        <w:pBdr>
          <w:top w:val="nil"/>
          <w:left w:val="nil"/>
          <w:bottom w:val="nil"/>
          <w:right w:val="nil"/>
          <w:between w:val="nil"/>
        </w:pBdr>
        <w:spacing w:before="14" w:line="240" w:lineRule="auto"/>
        <w:ind w:left="529"/>
        <w:rPr>
          <w:color w:val="231F20"/>
          <w:sz w:val="14"/>
          <w:szCs w:val="14"/>
        </w:rPr>
        <w:sectPr w:rsidR="005534B5">
          <w:type w:val="continuous"/>
          <w:pgSz w:w="12180" w:h="16440"/>
          <w:pgMar w:top="1170" w:right="2294" w:bottom="1145" w:left="1305" w:header="0" w:footer="720" w:gutter="0"/>
          <w:cols w:num="2" w:space="720" w:equalWidth="0">
            <w:col w:w="4300" w:space="0"/>
            <w:col w:w="4300" w:space="0"/>
          </w:cols>
        </w:sectPr>
      </w:pPr>
      <w:r>
        <w:rPr>
          <w:color w:val="231F20"/>
          <w:sz w:val="14"/>
          <w:szCs w:val="14"/>
        </w:rPr>
        <w:lastRenderedPageBreak/>
        <w:t xml:space="preserve">Received on November 6, 2024 </w:t>
      </w:r>
    </w:p>
    <w:p w14:paraId="00000019" w14:textId="77777777" w:rsidR="005534B5" w:rsidRDefault="006C3692">
      <w:pPr>
        <w:widowControl w:val="0"/>
        <w:pBdr>
          <w:top w:val="nil"/>
          <w:left w:val="nil"/>
          <w:bottom w:val="nil"/>
          <w:right w:val="nil"/>
          <w:between w:val="nil"/>
        </w:pBdr>
        <w:spacing w:before="280" w:line="240" w:lineRule="auto"/>
        <w:ind w:left="354"/>
        <w:rPr>
          <w:color w:val="231F20"/>
          <w:sz w:val="14"/>
          <w:szCs w:val="14"/>
        </w:rPr>
      </w:pPr>
      <w:r>
        <w:rPr>
          <w:color w:val="231F20"/>
          <w:sz w:val="14"/>
          <w:szCs w:val="14"/>
        </w:rPr>
        <w:lastRenderedPageBreak/>
        <w:t xml:space="preserve">© С.О. Прогонов, О.О. Торбас, С.М. Кушнір, Ю.М. Сіренко, Г.Д. Радченко, 2024 </w:t>
      </w:r>
    </w:p>
    <w:p w14:paraId="0000001A" w14:textId="77777777" w:rsidR="005534B5" w:rsidRDefault="006C3692">
      <w:pPr>
        <w:widowControl w:val="0"/>
        <w:pBdr>
          <w:top w:val="nil"/>
          <w:left w:val="nil"/>
          <w:bottom w:val="nil"/>
          <w:right w:val="nil"/>
          <w:between w:val="nil"/>
        </w:pBdr>
        <w:spacing w:line="240" w:lineRule="auto"/>
        <w:ind w:right="379"/>
        <w:jc w:val="right"/>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rPr>
        <w:t xml:space="preserve">54 </w:t>
      </w:r>
      <w:r>
        <w:rPr>
          <w:color w:val="005769"/>
          <w:sz w:val="23"/>
          <w:szCs w:val="23"/>
          <w:vertAlign w:val="superscript"/>
        </w:rPr>
        <w:t>Кардіохірургія та інтервенційна кардіологія. 2024; Том 13, № 3 С.О. Прогонов та співавт.</w:t>
      </w:r>
      <w:r>
        <w:rPr>
          <w:color w:val="005769"/>
          <w:sz w:val="14"/>
          <w:szCs w:val="14"/>
        </w:rPr>
        <w:t xml:space="preserve"> </w:t>
      </w:r>
    </w:p>
    <w:p w14:paraId="0000001B" w14:textId="77777777" w:rsidR="005534B5" w:rsidRDefault="006C3692">
      <w:pPr>
        <w:widowControl w:val="0"/>
        <w:pBdr>
          <w:top w:val="nil"/>
          <w:left w:val="nil"/>
          <w:bottom w:val="nil"/>
          <w:right w:val="nil"/>
          <w:between w:val="nil"/>
        </w:pBdr>
        <w:spacing w:before="284" w:line="395" w:lineRule="auto"/>
        <w:ind w:firstLine="215"/>
        <w:rPr>
          <w:color w:val="FFFFFF"/>
          <w:sz w:val="18"/>
          <w:szCs w:val="18"/>
        </w:rPr>
      </w:pPr>
      <w:r>
        <w:rPr>
          <w:color w:val="FFFFFF"/>
          <w:sz w:val="30"/>
          <w:szCs w:val="30"/>
          <w:vertAlign w:val="subscript"/>
        </w:rPr>
        <w:lastRenderedPageBreak/>
        <w:t>ДОСЛІДЖЕНН</w:t>
      </w:r>
      <w:r>
        <w:rPr>
          <w:color w:val="FFFFFF"/>
          <w:sz w:val="30"/>
          <w:szCs w:val="30"/>
          <w:vertAlign w:val="superscript"/>
        </w:rPr>
        <w:t>Я</w:t>
      </w:r>
      <w:r>
        <w:rPr>
          <w:rFonts w:ascii="Source Serif 4" w:eastAsia="Source Serif 4" w:hAnsi="Source Serif 4" w:cs="Source Serif 4"/>
          <w:color w:val="005769"/>
          <w:sz w:val="53"/>
          <w:szCs w:val="53"/>
        </w:rPr>
        <w:t>Л</w:t>
      </w:r>
      <w:r>
        <w:rPr>
          <w:rFonts w:ascii="Source Serif 4" w:eastAsia="Source Serif 4" w:hAnsi="Source Serif 4" w:cs="Source Serif 4"/>
          <w:color w:val="231F20"/>
          <w:sz w:val="33"/>
          <w:szCs w:val="33"/>
          <w:vertAlign w:val="superscript"/>
        </w:rPr>
        <w:t>егенева артеріальна гіпертензія (ЛАГ) та</w:t>
      </w:r>
      <w:r>
        <w:rPr>
          <w:rFonts w:ascii="Source Serif 4" w:eastAsia="Source Serif 4" w:hAnsi="Source Serif 4" w:cs="Source Serif 4"/>
          <w:color w:val="231F20"/>
          <w:sz w:val="20"/>
          <w:szCs w:val="20"/>
        </w:rPr>
        <w:t xml:space="preserve"> </w:t>
      </w:r>
      <w:r>
        <w:rPr>
          <w:color w:val="FFFFFF"/>
          <w:sz w:val="30"/>
          <w:szCs w:val="30"/>
          <w:vertAlign w:val="subscript"/>
        </w:rPr>
        <w:t>ОРИГІНАЛЬНІ</w:t>
      </w:r>
      <w:r>
        <w:rPr>
          <w:color w:val="FFFFFF"/>
          <w:sz w:val="18"/>
          <w:szCs w:val="18"/>
        </w:rPr>
        <w:t xml:space="preserve">  </w:t>
      </w:r>
    </w:p>
    <w:p w14:paraId="0000001C" w14:textId="77777777" w:rsidR="005534B5" w:rsidRDefault="006C3692">
      <w:pPr>
        <w:widowControl w:val="0"/>
        <w:pBdr>
          <w:top w:val="nil"/>
          <w:left w:val="nil"/>
          <w:bottom w:val="nil"/>
          <w:right w:val="nil"/>
          <w:between w:val="nil"/>
        </w:pBdr>
        <w:spacing w:line="239" w:lineRule="auto"/>
        <w:ind w:left="631" w:firstLine="376"/>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хронічна тромбоемболічна легенева гіпер тензія (ХТЕЛГ) – це рідкісні захворювання, які прогресують і характеризуються високою смертністю та значними порушеннями функ ціонального стану пацієнтів, що призводять до інвалідизації в працездатному віці.  </w:t>
      </w:r>
    </w:p>
    <w:p w14:paraId="0000001D" w14:textId="77777777" w:rsidR="005534B5" w:rsidRDefault="006C3692">
      <w:pPr>
        <w:widowControl w:val="0"/>
        <w:pBdr>
          <w:top w:val="nil"/>
          <w:left w:val="nil"/>
          <w:bottom w:val="nil"/>
          <w:right w:val="nil"/>
          <w:between w:val="nil"/>
        </w:pBdr>
        <w:spacing w:before="6" w:line="239" w:lineRule="auto"/>
        <w:ind w:left="630" w:firstLine="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Вважається, що поширеність ЛАГ становить 48–55 випадків на 1 млн населення, а ХТЕЛГ –  26–38 на 1 млн населення [1]. Своєчасно вста новлений діагноз та призначення специфічно го лікування може віддалити фатальні події та значно поліпшити якість життя паціє</w:t>
      </w:r>
      <w:r>
        <w:rPr>
          <w:rFonts w:ascii="Source Serif 4" w:eastAsia="Source Serif 4" w:hAnsi="Source Serif 4" w:cs="Source Serif 4"/>
          <w:color w:val="231F20"/>
          <w:sz w:val="20"/>
          <w:szCs w:val="20"/>
        </w:rPr>
        <w:t xml:space="preserve">нтів з цією патологією. Без відповідного лікування середня тривалість життя пацієнтів із ЛАГ може становити лише 2,8 року [1].  </w:t>
      </w:r>
    </w:p>
    <w:p w14:paraId="0000001E" w14:textId="77777777" w:rsidR="005534B5" w:rsidRDefault="006C3692">
      <w:pPr>
        <w:widowControl w:val="0"/>
        <w:pBdr>
          <w:top w:val="nil"/>
          <w:left w:val="nil"/>
          <w:bottom w:val="nil"/>
          <w:right w:val="nil"/>
          <w:between w:val="nil"/>
        </w:pBdr>
        <w:spacing w:before="6" w:line="239" w:lineRule="auto"/>
        <w:ind w:left="629" w:firstLine="28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Усі легеневі гіпертензії (ЛГ) поділяються на 5 великих груп залежно від їхнього типу (пре- або посткапілярна) та етіопатогенезу</w:t>
      </w:r>
      <w:r>
        <w:rPr>
          <w:rFonts w:ascii="Source Serif 4" w:eastAsia="Source Serif 4" w:hAnsi="Source Serif 4" w:cs="Source Serif 4"/>
          <w:color w:val="231F20"/>
          <w:sz w:val="20"/>
          <w:szCs w:val="20"/>
        </w:rPr>
        <w:t xml:space="preserve"> [1].  ЛАГ та ХТЕЛГ характеризуються наявністю прекапілярної ЛГ, коли середній тиск у леге невій артерії (СерЛА) становить &gt; 20 мм рт. ст.</w:t>
      </w:r>
      <w:proofErr w:type="gramStart"/>
      <w:r>
        <w:rPr>
          <w:rFonts w:ascii="Source Serif 4" w:eastAsia="Source Serif 4" w:hAnsi="Source Serif 4" w:cs="Source Serif 4"/>
          <w:color w:val="231F20"/>
          <w:sz w:val="20"/>
          <w:szCs w:val="20"/>
        </w:rPr>
        <w:t>,  опір</w:t>
      </w:r>
      <w:proofErr w:type="gramEnd"/>
      <w:r>
        <w:rPr>
          <w:rFonts w:ascii="Source Serif 4" w:eastAsia="Source Serif 4" w:hAnsi="Source Serif 4" w:cs="Source Serif 4"/>
          <w:color w:val="231F20"/>
          <w:sz w:val="20"/>
          <w:szCs w:val="20"/>
        </w:rPr>
        <w:t xml:space="preserve"> легеневих судин (ОЛС) – &gt; 2 одиниць Вуда (од. Вуда) і тиск заклинювання в легеневій артерії (ТЗЛА) – ≤ 15 мм р</w:t>
      </w:r>
      <w:r>
        <w:rPr>
          <w:rFonts w:ascii="Source Serif 4" w:eastAsia="Source Serif 4" w:hAnsi="Source Serif 4" w:cs="Source Serif 4"/>
          <w:color w:val="231F20"/>
          <w:sz w:val="20"/>
          <w:szCs w:val="20"/>
        </w:rPr>
        <w:t>т. ст. [1]. Усі ці показ ники визначаються при проведенні катетери зації правих відділів серця (КПС). Проте для того щоб віднести пацієнта до відповідної групи, окрім КПС, необхідно провести низку додаткових обстежень. Згідно з останньою настановою Європей</w:t>
      </w:r>
      <w:r>
        <w:rPr>
          <w:rFonts w:ascii="Source Serif 4" w:eastAsia="Source Serif 4" w:hAnsi="Source Serif 4" w:cs="Source Serif 4"/>
          <w:color w:val="231F20"/>
          <w:sz w:val="20"/>
          <w:szCs w:val="20"/>
        </w:rPr>
        <w:t xml:space="preserve">ського товариства карді ологів (ESC) та Європейського респіраторного товариства (ERS) 2022 року з діагностики та лікування ЛГ (ESC/ERS 2022) [1] оцінка функ ції зовнішнього дихання (ФЗД) та дифузій ної здатності легень за монооксидом вуглецю (ДЗЛМВ) є </w:t>
      </w:r>
      <w:r>
        <w:rPr>
          <w:rFonts w:ascii="Source Serif 4" w:eastAsia="Source Serif 4" w:hAnsi="Source Serif 4" w:cs="Source Serif 4"/>
          <w:color w:val="231F20"/>
          <w:sz w:val="20"/>
          <w:szCs w:val="20"/>
        </w:rPr>
        <w:lastRenderedPageBreak/>
        <w:t>обов</w:t>
      </w:r>
      <w:r>
        <w:rPr>
          <w:rFonts w:ascii="Source Serif 4" w:eastAsia="Source Serif 4" w:hAnsi="Source Serif 4" w:cs="Source Serif 4"/>
          <w:color w:val="231F20"/>
          <w:sz w:val="20"/>
          <w:szCs w:val="20"/>
        </w:rPr>
        <w:t>ʼ</w:t>
      </w:r>
      <w:r>
        <w:rPr>
          <w:rFonts w:ascii="Source Serif 4" w:eastAsia="Source Serif 4" w:hAnsi="Source Serif 4" w:cs="Source Serif 4"/>
          <w:color w:val="231F20"/>
          <w:sz w:val="20"/>
          <w:szCs w:val="20"/>
        </w:rPr>
        <w:t xml:space="preserve">язковими методами обстежен ня пацієнтів із ЛГ.  </w:t>
      </w:r>
    </w:p>
    <w:p w14:paraId="0000001F" w14:textId="77777777" w:rsidR="005534B5" w:rsidRDefault="006C3692">
      <w:pPr>
        <w:widowControl w:val="0"/>
        <w:pBdr>
          <w:top w:val="nil"/>
          <w:left w:val="nil"/>
          <w:bottom w:val="nil"/>
          <w:right w:val="nil"/>
          <w:between w:val="nil"/>
        </w:pBdr>
        <w:spacing w:before="6" w:line="239" w:lineRule="auto"/>
        <w:ind w:left="632" w:firstLine="28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ФЗД – це фізіологічний тест із фіксуван ням обʼємів та потоків повітря, які пацієнт здатний вдихати або видихати зі звичайним або максимальним зусиллям, що характери зує стан нижніх дихальних шляхів. ФЗД, як правило, оцінюється за даними спірометрії.  </w:t>
      </w:r>
    </w:p>
    <w:p w14:paraId="00000020" w14:textId="77777777" w:rsidR="005534B5" w:rsidRDefault="006C3692">
      <w:pPr>
        <w:widowControl w:val="0"/>
        <w:pBdr>
          <w:top w:val="nil"/>
          <w:left w:val="nil"/>
          <w:bottom w:val="nil"/>
          <w:right w:val="nil"/>
          <w:between w:val="nil"/>
        </w:pBdr>
        <w:spacing w:before="6" w:line="239" w:lineRule="auto"/>
        <w:ind w:left="63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Цей метод обстеження пацієнтів із ЛГ давно і широко увійшов у клінічну практику ведення цієї категорії пацієнтів. Вважається, що паці єнти з ЛАГ, особливо з ідіопатичною (ІЛАГ),  </w:t>
      </w:r>
    </w:p>
    <w:p w14:paraId="00000021" w14:textId="77777777" w:rsidR="005534B5" w:rsidRDefault="006C3692">
      <w:pPr>
        <w:widowControl w:val="0"/>
        <w:pBdr>
          <w:top w:val="nil"/>
          <w:left w:val="nil"/>
          <w:bottom w:val="nil"/>
          <w:right w:val="nil"/>
          <w:between w:val="nil"/>
        </w:pBdr>
        <w:spacing w:before="6" w:line="239" w:lineRule="auto"/>
        <w:ind w:left="631" w:firstLine="3"/>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мають показники ФЗД у межах норми [2–6].  Проте багато даних свідчать, що хв</w:t>
      </w:r>
      <w:r>
        <w:rPr>
          <w:rFonts w:ascii="Source Serif 4" w:eastAsia="Source Serif 4" w:hAnsi="Source Serif 4" w:cs="Source Serif 4"/>
          <w:color w:val="231F20"/>
          <w:sz w:val="20"/>
          <w:szCs w:val="20"/>
        </w:rPr>
        <w:t xml:space="preserve">орі з ЛАГ та ХТЕЛГ мають значно гірші показники </w:t>
      </w:r>
      <w:proofErr w:type="gramStart"/>
      <w:r>
        <w:rPr>
          <w:rFonts w:ascii="Source Serif 4" w:eastAsia="Source Serif 4" w:hAnsi="Source Serif 4" w:cs="Source Serif 4"/>
          <w:color w:val="231F20"/>
          <w:sz w:val="20"/>
          <w:szCs w:val="20"/>
        </w:rPr>
        <w:t>ФЗД,  ніж</w:t>
      </w:r>
      <w:proofErr w:type="gramEnd"/>
      <w:r>
        <w:rPr>
          <w:rFonts w:ascii="Source Serif 4" w:eastAsia="Source Serif 4" w:hAnsi="Source Serif 4" w:cs="Source Serif 4"/>
          <w:color w:val="231F20"/>
          <w:sz w:val="20"/>
          <w:szCs w:val="20"/>
        </w:rPr>
        <w:t xml:space="preserve"> особи без цих патологій. Так за даними G.E. Dalonzo і співавторів та C.V. Burke і співав торів [7] 20–40 % пацієнтів з ІЛАГ можуть мати обструкцію дихальних шляхів, яку оцінювали за відношенням обʼє</w:t>
      </w:r>
      <w:r>
        <w:rPr>
          <w:rFonts w:ascii="Source Serif 4" w:eastAsia="Source Serif 4" w:hAnsi="Source Serif 4" w:cs="Source Serif 4"/>
          <w:color w:val="231F20"/>
          <w:sz w:val="20"/>
          <w:szCs w:val="20"/>
        </w:rPr>
        <w:t xml:space="preserve">му форсованого видиху за </w:t>
      </w:r>
    </w:p>
    <w:p w14:paraId="00000022" w14:textId="77777777" w:rsidR="005534B5" w:rsidRDefault="006C3692">
      <w:pPr>
        <w:widowControl w:val="0"/>
        <w:pBdr>
          <w:top w:val="nil"/>
          <w:left w:val="nil"/>
          <w:bottom w:val="nil"/>
          <w:right w:val="nil"/>
          <w:between w:val="nil"/>
        </w:pBdr>
        <w:spacing w:before="91" w:line="239" w:lineRule="auto"/>
        <w:ind w:left="429" w:right="7" w:firstLine="1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1 секунду (ОФВ1) до життєвої ємності легень (ЖЄЛ) &lt; 70 %. В іншому дослідженні </w:t>
      </w:r>
      <w:proofErr w:type="gramStart"/>
      <w:r>
        <w:rPr>
          <w:rFonts w:ascii="Source Serif 4" w:eastAsia="Source Serif 4" w:hAnsi="Source Serif 4" w:cs="Source Serif 4"/>
          <w:color w:val="231F20"/>
          <w:sz w:val="20"/>
          <w:szCs w:val="20"/>
        </w:rPr>
        <w:t>показано,  що</w:t>
      </w:r>
      <w:proofErr w:type="gramEnd"/>
      <w:r>
        <w:rPr>
          <w:rFonts w:ascii="Source Serif 4" w:eastAsia="Source Serif 4" w:hAnsi="Source Serif 4" w:cs="Source Serif 4"/>
          <w:color w:val="231F20"/>
          <w:sz w:val="20"/>
          <w:szCs w:val="20"/>
        </w:rPr>
        <w:t xml:space="preserve"> середній показник ОФВ1/ЖЄЛ був статис тично значущо нижчим, ніж у контрольній групі, – 76 проти 84 % [8]. Наявність про тилежних результа</w:t>
      </w:r>
      <w:r>
        <w:rPr>
          <w:rFonts w:ascii="Source Serif 4" w:eastAsia="Source Serif 4" w:hAnsi="Source Serif 4" w:cs="Source Serif 4"/>
          <w:color w:val="231F20"/>
          <w:sz w:val="20"/>
          <w:szCs w:val="20"/>
        </w:rPr>
        <w:t xml:space="preserve">тів досліджень, </w:t>
      </w:r>
      <w:proofErr w:type="gramStart"/>
      <w:r>
        <w:rPr>
          <w:rFonts w:ascii="Source Serif 4" w:eastAsia="Source Serif 4" w:hAnsi="Source Serif 4" w:cs="Source Serif 4"/>
          <w:color w:val="231F20"/>
          <w:sz w:val="20"/>
          <w:szCs w:val="20"/>
        </w:rPr>
        <w:t>ймовірно,  пов</w:t>
      </w:r>
      <w:proofErr w:type="gramEnd"/>
      <w:r>
        <w:rPr>
          <w:rFonts w:ascii="Source Serif 4" w:eastAsia="Source Serif 4" w:hAnsi="Source Serif 4" w:cs="Source Serif 4"/>
          <w:color w:val="231F20"/>
          <w:sz w:val="20"/>
          <w:szCs w:val="20"/>
        </w:rPr>
        <w:t>ʼязана з тим, що спірометрія є не інформа тивним методом оцінювання периферійної обструкції дихальних шляхів, яка може вини кати в пацієнтів із ЛАГ, адже її порушення вносять лише 10 % у тотальний опір дихаль них шляхів [9]. О</w:t>
      </w:r>
      <w:r>
        <w:rPr>
          <w:rFonts w:ascii="Source Serif 4" w:eastAsia="Source Serif 4" w:hAnsi="Source Serif 4" w:cs="Source Serif 4"/>
          <w:color w:val="231F20"/>
          <w:sz w:val="20"/>
          <w:szCs w:val="20"/>
        </w:rPr>
        <w:t xml:space="preserve">крім того, в загальний аналіз часто залучали пацієнтів із різними формами ЛАГ [10, 11] або ж дослідження обмежувалися лише однією формою ЛАГ (наприклад, тільки в пацієнтів із синдромом Ейзенменгера [12]). </w:t>
      </w:r>
    </w:p>
    <w:p w14:paraId="00000023" w14:textId="77777777" w:rsidR="005534B5" w:rsidRDefault="006C3692">
      <w:pPr>
        <w:widowControl w:val="0"/>
        <w:pBdr>
          <w:top w:val="nil"/>
          <w:left w:val="nil"/>
          <w:bottom w:val="nil"/>
          <w:right w:val="nil"/>
          <w:between w:val="nil"/>
        </w:pBdr>
        <w:spacing w:before="6" w:line="234" w:lineRule="auto"/>
        <w:ind w:left="432" w:right="7" w:firstLine="28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ДЗЛМВ – метод діагностики порушень газо обміну в легеневій тканині. При цьому, пору шення переносу дихальних газів (О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20"/>
          <w:szCs w:val="20"/>
        </w:rPr>
        <w:t>та СО</w:t>
      </w:r>
      <w:r>
        <w:rPr>
          <w:rFonts w:ascii="Source Serif 4" w:eastAsia="Source Serif 4" w:hAnsi="Source Serif 4" w:cs="Source Serif 4"/>
          <w:color w:val="231F20"/>
          <w:sz w:val="23"/>
          <w:szCs w:val="23"/>
          <w:vertAlign w:val="subscript"/>
        </w:rPr>
        <w:t>2</w:t>
      </w:r>
      <w:proofErr w:type="gramStart"/>
      <w:r>
        <w:rPr>
          <w:rFonts w:ascii="Source Serif 4" w:eastAsia="Source Serif 4" w:hAnsi="Source Serif 4" w:cs="Source Serif 4"/>
          <w:color w:val="231F20"/>
          <w:sz w:val="20"/>
          <w:szCs w:val="20"/>
        </w:rPr>
        <w:t>)  із</w:t>
      </w:r>
      <w:proofErr w:type="gramEnd"/>
      <w:r>
        <w:rPr>
          <w:rFonts w:ascii="Source Serif 4" w:eastAsia="Source Serif 4" w:hAnsi="Source Serif 4" w:cs="Source Serif 4"/>
          <w:color w:val="231F20"/>
          <w:sz w:val="20"/>
          <w:szCs w:val="20"/>
        </w:rPr>
        <w:t xml:space="preserve"> вдихуваного повітря до артеріальної крові може бути спричинене як погіршанням струк турних та/або функціональних властивостей</w:t>
      </w:r>
      <w:r>
        <w:rPr>
          <w:rFonts w:ascii="Source Serif 4" w:eastAsia="Source Serif 4" w:hAnsi="Source Serif 4" w:cs="Source Serif 4"/>
          <w:color w:val="231F20"/>
          <w:sz w:val="20"/>
          <w:szCs w:val="20"/>
        </w:rPr>
        <w:t xml:space="preserve"> альвеолярно-капілярної мембрани, так і інши ми анатомо-фізіологічними факторами. Адже процес перенесення монооксиду вуглецю (СО)  </w:t>
      </w:r>
    </w:p>
    <w:p w14:paraId="00000024" w14:textId="77777777" w:rsidR="005534B5" w:rsidRDefault="006C3692">
      <w:pPr>
        <w:widowControl w:val="0"/>
        <w:pBdr>
          <w:top w:val="nil"/>
          <w:left w:val="nil"/>
          <w:bottom w:val="nil"/>
          <w:right w:val="nil"/>
          <w:between w:val="nil"/>
        </w:pBdr>
        <w:spacing w:before="10" w:line="239" w:lineRule="auto"/>
        <w:ind w:left="430" w:right="7" w:firstLine="1"/>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з навколишнього середовища у кров легене вих капілярів має декілька етапів, з яких клю чове значення мають транспортування С</w:t>
      </w:r>
      <w:r>
        <w:rPr>
          <w:rFonts w:ascii="Source Serif 4" w:eastAsia="Source Serif 4" w:hAnsi="Source Serif 4" w:cs="Source Serif 4"/>
          <w:color w:val="231F20"/>
          <w:sz w:val="20"/>
          <w:szCs w:val="20"/>
        </w:rPr>
        <w:t xml:space="preserve">О до дихальних шляхів і альвеол; перенесення СО через межу між газоподібним та рідинним середовищем альвеоло-капілярної мембрани;  </w:t>
      </w:r>
    </w:p>
    <w:p w14:paraId="00000025" w14:textId="77777777" w:rsidR="005534B5" w:rsidRDefault="006C3692">
      <w:pPr>
        <w:widowControl w:val="0"/>
        <w:pBdr>
          <w:top w:val="nil"/>
          <w:left w:val="nil"/>
          <w:bottom w:val="nil"/>
          <w:right w:val="nil"/>
          <w:between w:val="nil"/>
        </w:pBdr>
        <w:spacing w:before="6" w:line="239" w:lineRule="auto"/>
        <w:ind w:left="428" w:right="7"/>
        <w:jc w:val="center"/>
        <w:rPr>
          <w:rFonts w:ascii="Source Serif 4" w:eastAsia="Source Serif 4" w:hAnsi="Source Serif 4" w:cs="Source Serif 4"/>
          <w:color w:val="231F20"/>
          <w:sz w:val="20"/>
          <w:szCs w:val="20"/>
        </w:rPr>
        <w:sectPr w:rsidR="005534B5">
          <w:type w:val="continuous"/>
          <w:pgSz w:w="12180" w:h="16440"/>
          <w:pgMar w:top="1170" w:right="1077" w:bottom="1145" w:left="790" w:header="0" w:footer="720" w:gutter="0"/>
          <w:cols w:num="2" w:space="720" w:equalWidth="0">
            <w:col w:w="5160" w:space="0"/>
            <w:col w:w="5160" w:space="0"/>
          </w:cols>
        </w:sectPr>
      </w:pPr>
      <w:r>
        <w:rPr>
          <w:rFonts w:ascii="Source Serif 4" w:eastAsia="Source Serif 4" w:hAnsi="Source Serif 4" w:cs="Source Serif 4"/>
          <w:color w:val="231F20"/>
          <w:sz w:val="20"/>
          <w:szCs w:val="20"/>
        </w:rPr>
        <w:t xml:space="preserve">дифузія СО всередину еритроцитів і хімічна реакція з компонентами гемоглобіну крові.  При ЛАГ </w:t>
      </w:r>
      <w:r>
        <w:rPr>
          <w:rFonts w:ascii="Source Serif 4" w:eastAsia="Source Serif 4" w:hAnsi="Source Serif 4" w:cs="Source Serif 4"/>
          <w:color w:val="231F20"/>
          <w:sz w:val="20"/>
          <w:szCs w:val="20"/>
        </w:rPr>
        <w:t>та ХТЕЛГ у майже 70 % пацієн тів спостерігається зниження ДЗЛМВ (нижче 80 %). Це може відбуватися як унаслідок потовщення альвеолярно-капілярної мембра ни через проліферацію ендотелію, так і через зменшення капілярного обʼєму, яке виникає через ремоделюван</w:t>
      </w:r>
      <w:r>
        <w:rPr>
          <w:rFonts w:ascii="Source Serif 4" w:eastAsia="Source Serif 4" w:hAnsi="Source Serif 4" w:cs="Source Serif 4"/>
          <w:color w:val="231F20"/>
          <w:sz w:val="20"/>
          <w:szCs w:val="20"/>
        </w:rPr>
        <w:t xml:space="preserve">ня малих артерій (гіпер трофія, плексиформне ушкодження), що </w:t>
      </w:r>
      <w:r>
        <w:rPr>
          <w:rFonts w:ascii="Source Serif 4" w:eastAsia="Source Serif 4" w:hAnsi="Source Serif 4" w:cs="Source Serif 4"/>
          <w:color w:val="231F20"/>
          <w:sz w:val="20"/>
          <w:szCs w:val="20"/>
        </w:rPr>
        <w:lastRenderedPageBreak/>
        <w:t xml:space="preserve">супроводжується збільшенням ОЛС, зменшен ням хвилинного обʼєму крові (ХОК) та виник ненням локального тромбозу [13]. Окрім </w:t>
      </w:r>
      <w:proofErr w:type="gramStart"/>
      <w:r>
        <w:rPr>
          <w:rFonts w:ascii="Source Serif 4" w:eastAsia="Source Serif 4" w:hAnsi="Source Serif 4" w:cs="Source Serif 4"/>
          <w:color w:val="231F20"/>
          <w:sz w:val="20"/>
          <w:szCs w:val="20"/>
        </w:rPr>
        <w:t>того,  на</w:t>
      </w:r>
      <w:proofErr w:type="gramEnd"/>
      <w:r>
        <w:rPr>
          <w:rFonts w:ascii="Source Serif 4" w:eastAsia="Source Serif 4" w:hAnsi="Source Serif 4" w:cs="Source Serif 4"/>
          <w:color w:val="231F20"/>
          <w:sz w:val="20"/>
          <w:szCs w:val="20"/>
        </w:rPr>
        <w:t xml:space="preserve"> показник ДЗЛМВ може впливати куріння,  наявність інтралегеневи</w:t>
      </w:r>
      <w:r>
        <w:rPr>
          <w:rFonts w:ascii="Source Serif 4" w:eastAsia="Source Serif 4" w:hAnsi="Source Serif 4" w:cs="Source Serif 4"/>
          <w:color w:val="231F20"/>
          <w:sz w:val="20"/>
          <w:szCs w:val="20"/>
        </w:rPr>
        <w:t>х або інтракардіаль них шунтів, концентрація гемоглобіну [14].  ДЗЛМВ &lt; 50 % є значущим маркером наявнос ті ураження легеневих судин (частіше при венооклюзійній хворобі легень) або паренхіми легень [15]. У пацієнтів із системним склеро зом ДЗЛМВ &lt; 60 % асо</w:t>
      </w:r>
      <w:r>
        <w:rPr>
          <w:rFonts w:ascii="Source Serif 4" w:eastAsia="Source Serif 4" w:hAnsi="Source Serif 4" w:cs="Source Serif 4"/>
          <w:color w:val="231F20"/>
          <w:sz w:val="20"/>
          <w:szCs w:val="20"/>
        </w:rPr>
        <w:t xml:space="preserve">ціюється з наявністю ЛАГ у пацієнтів із незначними клінічними симп томами [16], а відношення ДЗЛМВ / альвеоляр ний обʼєм &lt; 60 % є предиктором виникнення ЛГ протягом наступних 36 місяців [17, 18]. </w:t>
      </w:r>
    </w:p>
    <w:p w14:paraId="00000026" w14:textId="77777777" w:rsidR="005534B5" w:rsidRDefault="006C3692">
      <w:pPr>
        <w:widowControl w:val="0"/>
        <w:pBdr>
          <w:top w:val="nil"/>
          <w:left w:val="nil"/>
          <w:bottom w:val="nil"/>
          <w:right w:val="nil"/>
          <w:between w:val="nil"/>
        </w:pBdr>
        <w:spacing w:line="240" w:lineRule="auto"/>
        <w:ind w:left="343"/>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sz w:val="36"/>
          <w:szCs w:val="36"/>
          <w:vertAlign w:val="subscript"/>
        </w:rPr>
        <w:lastRenderedPageBreak/>
        <w:t>55</w:t>
      </w:r>
      <w:r>
        <w:rPr>
          <w:color w:val="231F20"/>
        </w:rPr>
        <w:t xml:space="preserve"> </w:t>
      </w:r>
      <w:r>
        <w:rPr>
          <w:color w:val="005769"/>
          <w:sz w:val="14"/>
          <w:szCs w:val="14"/>
        </w:rPr>
        <w:t xml:space="preserve">С.О. Прогонов та співавт. Кардіохірургія та інтервенційна кардіологія. 2024; Том 13, № 3 </w:t>
      </w:r>
    </w:p>
    <w:p w14:paraId="00000027" w14:textId="77777777" w:rsidR="005534B5" w:rsidRDefault="006C3692">
      <w:pPr>
        <w:widowControl w:val="0"/>
        <w:pBdr>
          <w:top w:val="nil"/>
          <w:left w:val="nil"/>
          <w:bottom w:val="nil"/>
          <w:right w:val="nil"/>
          <w:between w:val="nil"/>
        </w:pBdr>
        <w:spacing w:before="442" w:line="239" w:lineRule="auto"/>
        <w:ind w:left="7" w:right="435" w:firstLine="28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 xml:space="preserve">Існують дані, що ДЗЛМВ може бути також прогностичним маркером для пацієнтів з ІЛАГ [19, 20], ХТЕЛГ [11] та при системній склеродермії [21]. Цей показник доданий у калькулятор REVEAL (Registry to Evaluate Early  </w:t>
      </w:r>
    </w:p>
    <w:p w14:paraId="00000028" w14:textId="77777777" w:rsidR="005534B5" w:rsidRDefault="006C3692">
      <w:pPr>
        <w:widowControl w:val="0"/>
        <w:pBdr>
          <w:top w:val="nil"/>
          <w:left w:val="nil"/>
          <w:bottom w:val="nil"/>
          <w:right w:val="nil"/>
          <w:between w:val="nil"/>
        </w:pBdr>
        <w:spacing w:before="6" w:line="239" w:lineRule="auto"/>
        <w:ind w:left="7" w:right="435" w:firstLine="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and Long-term PAH Disease Management) 1.0 та</w:t>
      </w:r>
      <w:r>
        <w:rPr>
          <w:rFonts w:ascii="Source Serif 4" w:eastAsia="Source Serif 4" w:hAnsi="Source Serif 4" w:cs="Source Serif 4"/>
          <w:color w:val="231F20"/>
          <w:sz w:val="20"/>
          <w:szCs w:val="20"/>
        </w:rPr>
        <w:t xml:space="preserve"> REVEAL 2.0 для визначення виживання паці єнтів із ЛАГ або ХТЕЛГ [21–23]. Проте показ ник ДЗЛМВ не враховували для стратифікації ризику виникнення смерті ні у французько му реєстрі [24], ні в рекомендаціях ESC/ERS  </w:t>
      </w:r>
    </w:p>
    <w:p w14:paraId="00000029" w14:textId="77777777" w:rsidR="005534B5" w:rsidRDefault="006C3692">
      <w:pPr>
        <w:widowControl w:val="0"/>
        <w:pBdr>
          <w:top w:val="nil"/>
          <w:left w:val="nil"/>
          <w:bottom w:val="nil"/>
          <w:right w:val="nil"/>
          <w:between w:val="nil"/>
        </w:pBdr>
        <w:spacing w:before="6" w:line="239" w:lineRule="auto"/>
        <w:ind w:right="435" w:firstLine="8"/>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2015 та 2022 років. А пороговий рівень </w:t>
      </w:r>
      <w:proofErr w:type="gramStart"/>
      <w:r>
        <w:rPr>
          <w:rFonts w:ascii="Source Serif 4" w:eastAsia="Source Serif 4" w:hAnsi="Source Serif 4" w:cs="Source Serif 4"/>
          <w:color w:val="231F20"/>
          <w:sz w:val="20"/>
          <w:szCs w:val="20"/>
        </w:rPr>
        <w:t>ДЗЛМВ,  нижче</w:t>
      </w:r>
      <w:proofErr w:type="gramEnd"/>
      <w:r>
        <w:rPr>
          <w:rFonts w:ascii="Source Serif 4" w:eastAsia="Source Serif 4" w:hAnsi="Source Serif 4" w:cs="Source Serif 4"/>
          <w:color w:val="231F20"/>
          <w:sz w:val="20"/>
          <w:szCs w:val="20"/>
        </w:rPr>
        <w:t xml:space="preserve"> за який збільшується ризик смерті,  постійно змінюється. Так, у версії REVEAL </w:t>
      </w:r>
      <w:proofErr w:type="gramStart"/>
      <w:r>
        <w:rPr>
          <w:rFonts w:ascii="Source Serif 4" w:eastAsia="Source Serif 4" w:hAnsi="Source Serif 4" w:cs="Source Serif 4"/>
          <w:color w:val="231F20"/>
          <w:sz w:val="20"/>
          <w:szCs w:val="20"/>
        </w:rPr>
        <w:t>1.0  використовували</w:t>
      </w:r>
      <w:proofErr w:type="gramEnd"/>
      <w:r>
        <w:rPr>
          <w:rFonts w:ascii="Source Serif 4" w:eastAsia="Source Serif 4" w:hAnsi="Source Serif 4" w:cs="Source Serif 4"/>
          <w:color w:val="231F20"/>
          <w:sz w:val="20"/>
          <w:szCs w:val="20"/>
        </w:rPr>
        <w:t xml:space="preserve"> 32 %, а у версії REVEAL 2.0  уже 40 % [23]. У польському дослідженні вико </w:t>
      </w:r>
    </w:p>
    <w:p w14:paraId="0000002A" w14:textId="77777777" w:rsidR="005534B5" w:rsidRDefault="006C3692">
      <w:pPr>
        <w:widowControl w:val="0"/>
        <w:pBdr>
          <w:top w:val="nil"/>
          <w:left w:val="nil"/>
          <w:bottom w:val="nil"/>
          <w:right w:val="nil"/>
          <w:between w:val="nil"/>
        </w:pBdr>
        <w:spacing w:before="6" w:line="240" w:lineRule="auto"/>
        <w:ind w:left="7"/>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ристовували показник 55 % [25</w:t>
      </w:r>
      <w:r>
        <w:rPr>
          <w:rFonts w:ascii="Source Serif 4" w:eastAsia="Source Serif 4" w:hAnsi="Source Serif 4" w:cs="Source Serif 4"/>
          <w:color w:val="231F20"/>
          <w:sz w:val="20"/>
          <w:szCs w:val="20"/>
        </w:rPr>
        <w:t xml:space="preserve">].  </w:t>
      </w:r>
    </w:p>
    <w:p w14:paraId="0000002B" w14:textId="77777777" w:rsidR="005534B5" w:rsidRDefault="006C3692">
      <w:pPr>
        <w:widowControl w:val="0"/>
        <w:pBdr>
          <w:top w:val="nil"/>
          <w:left w:val="nil"/>
          <w:bottom w:val="nil"/>
          <w:right w:val="nil"/>
          <w:between w:val="nil"/>
        </w:pBdr>
        <w:spacing w:before="6" w:line="239" w:lineRule="auto"/>
        <w:ind w:left="2" w:right="435" w:firstLine="290"/>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Окремо розглядається питання щодо мож ливості використання показника ДЗЛМВ для неінвазивної оцінки ефективності специфіч ної терапії ЛГ. Так, у невеликому досліджен ні лікування інгібіторами фосфодіестерази-5  </w:t>
      </w:r>
    </w:p>
    <w:p w14:paraId="0000002C" w14:textId="77777777" w:rsidR="005534B5" w:rsidRDefault="006C3692">
      <w:pPr>
        <w:widowControl w:val="0"/>
        <w:pBdr>
          <w:top w:val="nil"/>
          <w:left w:val="nil"/>
          <w:bottom w:val="nil"/>
          <w:right w:val="nil"/>
          <w:between w:val="nil"/>
        </w:pBdr>
        <w:spacing w:before="6" w:line="239" w:lineRule="auto"/>
        <w:ind w:left="7" w:right="483" w:firstLine="1"/>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асоціювалося зі збільшенням ДЗЛМВ [26]. Тобто, все вказує на те, що ДЗЛМВ є важли вим показником, але його звʼязок із прогнозом при ЛГ та порогові значення для визначення ризику недостатньо вивчені. Тому проведення клінічних досліджень із залученням велико</w:t>
      </w:r>
      <w:r>
        <w:rPr>
          <w:rFonts w:ascii="Source Serif 4" w:eastAsia="Source Serif 4" w:hAnsi="Source Serif 4" w:cs="Source Serif 4"/>
          <w:color w:val="231F20"/>
          <w:sz w:val="20"/>
          <w:szCs w:val="20"/>
        </w:rPr>
        <w:t xml:space="preserve">ї кількості пацієнтів з різною ЛГ та в різних центрах є актуальною сучасною проблемою медицини.  </w:t>
      </w:r>
    </w:p>
    <w:p w14:paraId="0000002D" w14:textId="77777777" w:rsidR="005534B5" w:rsidRDefault="006C3692">
      <w:pPr>
        <w:widowControl w:val="0"/>
        <w:pBdr>
          <w:top w:val="nil"/>
          <w:left w:val="nil"/>
          <w:bottom w:val="nil"/>
          <w:right w:val="nil"/>
          <w:between w:val="nil"/>
        </w:pBdr>
        <w:spacing w:before="6" w:line="239" w:lineRule="auto"/>
        <w:ind w:right="485" w:firstLine="291"/>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Незважаючи на те, що ДЗЛМВ є стандарт </w:t>
      </w:r>
      <w:r>
        <w:rPr>
          <w:rFonts w:ascii="Source Serif 4" w:eastAsia="Source Serif 4" w:hAnsi="Source Serif 4" w:cs="Source Serif 4"/>
          <w:color w:val="231F20"/>
          <w:sz w:val="20"/>
          <w:szCs w:val="20"/>
        </w:rPr>
        <w:lastRenderedPageBreak/>
        <w:t>ним показником, який мають оцінювати у всіх пацієнтів із ЛГ [27], в Україні, через трива лу відсутність апаратів для виз</w:t>
      </w:r>
      <w:r>
        <w:rPr>
          <w:rFonts w:ascii="Source Serif 4" w:eastAsia="Source Serif 4" w:hAnsi="Source Serif 4" w:cs="Source Serif 4"/>
          <w:color w:val="231F20"/>
          <w:sz w:val="20"/>
          <w:szCs w:val="20"/>
        </w:rPr>
        <w:t xml:space="preserve">начення цього параметра, досліджень із визначення ДЗЛМВ у пацієнтів із ЛГ не проводилось. Також прак тично немає вітчизняних даних щодо пору шення ФЗД у пацієнтів з різними формами ЛАГ та ХТЕЛГ.  </w:t>
      </w:r>
    </w:p>
    <w:p w14:paraId="0000002E" w14:textId="77777777" w:rsidR="005534B5" w:rsidRDefault="006C3692">
      <w:pPr>
        <w:widowControl w:val="0"/>
        <w:pBdr>
          <w:top w:val="nil"/>
          <w:left w:val="nil"/>
          <w:bottom w:val="nil"/>
          <w:right w:val="nil"/>
          <w:between w:val="nil"/>
        </w:pBdr>
        <w:spacing w:before="6" w:line="239" w:lineRule="auto"/>
        <w:ind w:left="1" w:right="483" w:firstLine="287"/>
        <w:jc w:val="both"/>
        <w:rPr>
          <w:rFonts w:ascii="Source Serif 4" w:eastAsia="Source Serif 4" w:hAnsi="Source Serif 4" w:cs="Source Serif 4"/>
          <w:color w:val="231F20"/>
          <w:sz w:val="20"/>
          <w:szCs w:val="20"/>
        </w:rPr>
      </w:pPr>
      <w:r>
        <w:rPr>
          <w:rFonts w:ascii="Source Serif 4" w:eastAsia="Source Serif 4" w:hAnsi="Source Serif 4" w:cs="Source Serif 4"/>
          <w:b/>
          <w:color w:val="231F20"/>
          <w:sz w:val="20"/>
          <w:szCs w:val="20"/>
        </w:rPr>
        <w:t xml:space="preserve">Мета роботи </w:t>
      </w:r>
      <w:r>
        <w:rPr>
          <w:rFonts w:ascii="Source Serif 4" w:eastAsia="Source Serif 4" w:hAnsi="Source Serif 4" w:cs="Source Serif 4"/>
          <w:color w:val="231F20"/>
          <w:sz w:val="20"/>
          <w:szCs w:val="20"/>
        </w:rPr>
        <w:t>– оцінити та порівняти показ ники функції зовні</w:t>
      </w:r>
      <w:r>
        <w:rPr>
          <w:rFonts w:ascii="Source Serif 4" w:eastAsia="Source Serif 4" w:hAnsi="Source Serif 4" w:cs="Source Serif 4"/>
          <w:color w:val="231F20"/>
          <w:sz w:val="20"/>
          <w:szCs w:val="20"/>
        </w:rPr>
        <w:t>шнього дихання та дифу зійної здатності легень за монооксидом вугле цю в пацієнтів з різними формами легеневої артеріальної гіпертензії та хронічної тромбо емболічної легеневої гіпертензії між собою та у здорових осіб, а також визначити кореляцій ні звʼязк</w:t>
      </w:r>
      <w:r>
        <w:rPr>
          <w:rFonts w:ascii="Source Serif 4" w:eastAsia="Source Serif 4" w:hAnsi="Source Serif 4" w:cs="Source Serif 4"/>
          <w:color w:val="231F20"/>
          <w:sz w:val="20"/>
          <w:szCs w:val="20"/>
        </w:rPr>
        <w:t>и між основними показниками функ ції зовнішнього дихання, дифузійної здатнос ті легень за монооксидом вуглецю, з одного боку, та показниками, що характеризують клі ніко-функціональний стан пацієнтів та/або використовуються для стратифікації ризику смерті у</w:t>
      </w:r>
      <w:r>
        <w:rPr>
          <w:rFonts w:ascii="Source Serif 4" w:eastAsia="Source Serif 4" w:hAnsi="Source Serif 4" w:cs="Source Serif 4"/>
          <w:color w:val="231F20"/>
          <w:sz w:val="20"/>
          <w:szCs w:val="20"/>
        </w:rPr>
        <w:t xml:space="preserve">продовж 1 року в рекомендаціях ESC/ ERS 2022 року, з іншого боку.  </w:t>
      </w:r>
    </w:p>
    <w:p w14:paraId="0000002F" w14:textId="77777777" w:rsidR="005534B5" w:rsidRDefault="006C3692">
      <w:pPr>
        <w:widowControl w:val="0"/>
        <w:pBdr>
          <w:top w:val="nil"/>
          <w:left w:val="nil"/>
          <w:bottom w:val="nil"/>
          <w:right w:val="nil"/>
          <w:between w:val="nil"/>
        </w:pBdr>
        <w:spacing w:line="240" w:lineRule="auto"/>
        <w:ind w:right="258"/>
        <w:jc w:val="right"/>
        <w:rPr>
          <w:color w:val="FFFFFF"/>
          <w:sz w:val="18"/>
          <w:szCs w:val="18"/>
        </w:rPr>
      </w:pPr>
      <w:r>
        <w:rPr>
          <w:color w:val="FFFFFF"/>
          <w:sz w:val="30"/>
          <w:szCs w:val="30"/>
          <w:vertAlign w:val="subscript"/>
        </w:rPr>
        <w:t>ОРИГІНАЛЬНІ</w:t>
      </w:r>
      <w:r>
        <w:rPr>
          <w:color w:val="FFFFFF"/>
          <w:sz w:val="18"/>
          <w:szCs w:val="18"/>
        </w:rPr>
        <w:t xml:space="preserve">  </w:t>
      </w:r>
    </w:p>
    <w:p w14:paraId="00000030" w14:textId="77777777" w:rsidR="005534B5" w:rsidRDefault="006C3692">
      <w:pPr>
        <w:widowControl w:val="0"/>
        <w:pBdr>
          <w:top w:val="nil"/>
          <w:left w:val="nil"/>
          <w:bottom w:val="nil"/>
          <w:right w:val="nil"/>
          <w:between w:val="nil"/>
        </w:pBdr>
        <w:spacing w:line="240" w:lineRule="auto"/>
        <w:rPr>
          <w:b/>
          <w:color w:val="005769"/>
          <w:sz w:val="24"/>
          <w:szCs w:val="24"/>
        </w:rPr>
      </w:pPr>
      <w:r>
        <w:rPr>
          <w:b/>
          <w:color w:val="005769"/>
          <w:sz w:val="24"/>
          <w:szCs w:val="24"/>
        </w:rPr>
        <w:t xml:space="preserve">Матеріали і методи  </w:t>
      </w:r>
    </w:p>
    <w:p w14:paraId="00000031" w14:textId="77777777" w:rsidR="005534B5" w:rsidRDefault="006C3692">
      <w:pPr>
        <w:widowControl w:val="0"/>
        <w:pBdr>
          <w:top w:val="nil"/>
          <w:left w:val="nil"/>
          <w:bottom w:val="nil"/>
          <w:right w:val="nil"/>
          <w:between w:val="nil"/>
        </w:pBdr>
        <w:spacing w:line="240" w:lineRule="auto"/>
        <w:ind w:right="21"/>
        <w:jc w:val="right"/>
        <w:rPr>
          <w:color w:val="FFFFFF"/>
          <w:sz w:val="18"/>
          <w:szCs w:val="18"/>
        </w:rPr>
      </w:pPr>
      <w:r>
        <w:rPr>
          <w:color w:val="FFFFFF"/>
          <w:sz w:val="30"/>
          <w:szCs w:val="30"/>
          <w:vertAlign w:val="subscript"/>
        </w:rPr>
        <w:t>ДОСЛІДЖЕНН</w:t>
      </w:r>
      <w:r>
        <w:rPr>
          <w:color w:val="FFFFFF"/>
          <w:sz w:val="18"/>
          <w:szCs w:val="18"/>
        </w:rPr>
        <w:t xml:space="preserve">Я </w:t>
      </w:r>
    </w:p>
    <w:p w14:paraId="00000032" w14:textId="77777777" w:rsidR="005534B5" w:rsidRDefault="006C3692">
      <w:pPr>
        <w:widowControl w:val="0"/>
        <w:pBdr>
          <w:top w:val="nil"/>
          <w:left w:val="nil"/>
          <w:bottom w:val="nil"/>
          <w:right w:val="nil"/>
          <w:between w:val="nil"/>
        </w:pBdr>
        <w:spacing w:line="239" w:lineRule="auto"/>
        <w:ind w:right="634" w:firstLine="86"/>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У дослідження залучено 54 пацієнти, які були госпіталізовані у відділення вторинних та легеневих гіпертензій ННЦ «Інститут кар діології, клінічної та регенеративної меди цини імені академіка М.Д. Стражеска НАМН України», яким після проведення всіх необ хід</w:t>
      </w:r>
      <w:r>
        <w:rPr>
          <w:rFonts w:ascii="Source Serif 4" w:eastAsia="Source Serif 4" w:hAnsi="Source Serif 4" w:cs="Source Serif 4"/>
          <w:color w:val="231F20"/>
          <w:sz w:val="20"/>
          <w:szCs w:val="20"/>
        </w:rPr>
        <w:t xml:space="preserve">них досліджень згідно з уніфікованим про </w:t>
      </w:r>
      <w:r>
        <w:rPr>
          <w:rFonts w:ascii="Source Serif 4" w:eastAsia="Source Serif 4" w:hAnsi="Source Serif 4" w:cs="Source Serif 4"/>
          <w:color w:val="231F20"/>
          <w:sz w:val="20"/>
          <w:szCs w:val="20"/>
        </w:rPr>
        <w:lastRenderedPageBreak/>
        <w:t>токолом з діагностики та лікування ЛГ [28</w:t>
      </w:r>
      <w:proofErr w:type="gramStart"/>
      <w:r>
        <w:rPr>
          <w:rFonts w:ascii="Source Serif 4" w:eastAsia="Source Serif 4" w:hAnsi="Source Serif 4" w:cs="Source Serif 4"/>
          <w:color w:val="231F20"/>
          <w:sz w:val="20"/>
          <w:szCs w:val="20"/>
        </w:rPr>
        <w:t>]  та</w:t>
      </w:r>
      <w:proofErr w:type="gramEnd"/>
      <w:r>
        <w:rPr>
          <w:rFonts w:ascii="Source Serif 4" w:eastAsia="Source Serif 4" w:hAnsi="Source Serif 4" w:cs="Source Serif 4"/>
          <w:color w:val="231F20"/>
          <w:sz w:val="20"/>
          <w:szCs w:val="20"/>
        </w:rPr>
        <w:t xml:space="preserve"> рекомендаціями ESC/ERS 2022 [1], було діа гностовано ЛАГ або ХТЕЛГ: 18 пацієнтів з ІЛАГ,  </w:t>
      </w:r>
    </w:p>
    <w:p w14:paraId="00000033" w14:textId="77777777" w:rsidR="005534B5" w:rsidRDefault="006C3692">
      <w:pPr>
        <w:widowControl w:val="0"/>
        <w:pBdr>
          <w:top w:val="nil"/>
          <w:left w:val="nil"/>
          <w:bottom w:val="nil"/>
          <w:right w:val="nil"/>
          <w:between w:val="nil"/>
        </w:pBdr>
        <w:spacing w:before="6" w:line="239" w:lineRule="auto"/>
        <w:ind w:right="68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15 – з ЛАГ, асоційованою із вродженою вадою серця (ЛАГ-ВВС), 21 – із ХТЕЛГ. Н</w:t>
      </w:r>
      <w:r>
        <w:rPr>
          <w:rFonts w:ascii="Source Serif 4" w:eastAsia="Source Serif 4" w:hAnsi="Source Serif 4" w:cs="Source Serif 4"/>
          <w:color w:val="231F20"/>
          <w:sz w:val="20"/>
          <w:szCs w:val="20"/>
        </w:rPr>
        <w:t>е залуча ли пацієнтів із системним склерозом через наявність у них відомого ураження паренхіми легень та пацієнтів з іншими формами ЛАГ через їх нечисленність для формування груп порівняння. У контрольну групу було залуче но 20 здорових осіб без ознак наяв</w:t>
      </w:r>
      <w:r>
        <w:rPr>
          <w:rFonts w:ascii="Source Serif 4" w:eastAsia="Source Serif 4" w:hAnsi="Source Serif 4" w:cs="Source Serif 4"/>
          <w:color w:val="231F20"/>
          <w:sz w:val="20"/>
          <w:szCs w:val="20"/>
        </w:rPr>
        <w:t xml:space="preserve">ності захво рювань дихальної, серцево-судинної систем та захворювань крові.  </w:t>
      </w:r>
    </w:p>
    <w:p w14:paraId="00000034" w14:textId="77777777" w:rsidR="005534B5" w:rsidRDefault="006C3692">
      <w:pPr>
        <w:widowControl w:val="0"/>
        <w:pBdr>
          <w:top w:val="nil"/>
          <w:left w:val="nil"/>
          <w:bottom w:val="nil"/>
          <w:right w:val="nil"/>
          <w:between w:val="nil"/>
        </w:pBdr>
        <w:spacing w:before="6" w:line="239" w:lineRule="auto"/>
        <w:ind w:right="634" w:firstLine="91"/>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Групи пацієнтів із ЛГ були статистично зіставними з контрольною групою за </w:t>
      </w:r>
      <w:proofErr w:type="gramStart"/>
      <w:r>
        <w:rPr>
          <w:rFonts w:ascii="Source Serif 4" w:eastAsia="Source Serif 4" w:hAnsi="Source Serif 4" w:cs="Source Serif 4"/>
          <w:color w:val="231F20"/>
          <w:sz w:val="20"/>
          <w:szCs w:val="20"/>
        </w:rPr>
        <w:t>віком,  статтю</w:t>
      </w:r>
      <w:proofErr w:type="gramEnd"/>
      <w:r>
        <w:rPr>
          <w:rFonts w:ascii="Source Serif 4" w:eastAsia="Source Serif 4" w:hAnsi="Source Serif 4" w:cs="Source Serif 4"/>
          <w:color w:val="231F20"/>
          <w:sz w:val="20"/>
          <w:szCs w:val="20"/>
        </w:rPr>
        <w:t xml:space="preserve">, індексом маси тіла </w:t>
      </w:r>
      <w:r>
        <w:rPr>
          <w:rFonts w:ascii="Source Serif 4" w:eastAsia="Source Serif 4" w:hAnsi="Source Serif 4" w:cs="Source Serif 4"/>
          <w:i/>
          <w:color w:val="231F20"/>
          <w:sz w:val="20"/>
          <w:szCs w:val="20"/>
        </w:rPr>
        <w:t>(табл. 1)</w:t>
      </w:r>
      <w:r>
        <w:rPr>
          <w:rFonts w:ascii="Source Serif 4" w:eastAsia="Source Serif 4" w:hAnsi="Source Serif 4" w:cs="Source Serif 4"/>
          <w:color w:val="231F20"/>
          <w:sz w:val="20"/>
          <w:szCs w:val="20"/>
        </w:rPr>
        <w:t>. Усі паці єнти перед визначенням ФЗД та ДЗЛМВ пере бували в</w:t>
      </w:r>
      <w:r>
        <w:rPr>
          <w:rFonts w:ascii="Source Serif 4" w:eastAsia="Source Serif 4" w:hAnsi="Source Serif 4" w:cs="Source Serif 4"/>
          <w:color w:val="231F20"/>
          <w:sz w:val="20"/>
          <w:szCs w:val="20"/>
        </w:rPr>
        <w:t xml:space="preserve"> компенсованому і еуволюмічному стані та не приймали специфічної терапії ЛГ.  У групу ЛАГ-ВВС увійшли пацієнти, у яких вада серця не була коригована (вперше вияв лена або відмовлено в операції через високий тиск у легеневій артерії). Критеріями неза лученн</w:t>
      </w:r>
      <w:r>
        <w:rPr>
          <w:rFonts w:ascii="Source Serif 4" w:eastAsia="Source Serif 4" w:hAnsi="Source Serif 4" w:cs="Source Serif 4"/>
          <w:color w:val="231F20"/>
          <w:sz w:val="20"/>
          <w:szCs w:val="20"/>
        </w:rPr>
        <w:t xml:space="preserve">я були відоме </w:t>
      </w:r>
      <w:r>
        <w:rPr>
          <w:rFonts w:ascii="Source Serif 4" w:eastAsia="Source Serif 4" w:hAnsi="Source Serif 4" w:cs="Source Serif 4"/>
          <w:color w:val="231F20"/>
          <w:sz w:val="20"/>
          <w:szCs w:val="20"/>
        </w:rPr>
        <w:lastRenderedPageBreak/>
        <w:t xml:space="preserve">попередньо діагностова не захворювання легень та клінічно значущі супутні патології </w:t>
      </w:r>
      <w:proofErr w:type="gramStart"/>
      <w:r>
        <w:rPr>
          <w:rFonts w:ascii="Source Serif 4" w:eastAsia="Source Serif 4" w:hAnsi="Source Serif 4" w:cs="Source Serif 4"/>
          <w:color w:val="231F20"/>
          <w:sz w:val="20"/>
          <w:szCs w:val="20"/>
        </w:rPr>
        <w:t>( наявність</w:t>
      </w:r>
      <w:proofErr w:type="gramEnd"/>
      <w:r>
        <w:rPr>
          <w:rFonts w:ascii="Source Serif 4" w:eastAsia="Source Serif 4" w:hAnsi="Source Serif 4" w:cs="Source Serif 4"/>
          <w:color w:val="231F20"/>
          <w:sz w:val="20"/>
          <w:szCs w:val="20"/>
        </w:rPr>
        <w:t xml:space="preserve"> хронічної хворо би нирок III–IV стадії, значущої дисфункції печінки, декомпенсованого цукрового діа бету, психічних розладів, скелетно-мʼязових ро</w:t>
      </w:r>
      <w:r>
        <w:rPr>
          <w:rFonts w:ascii="Source Serif 4" w:eastAsia="Source Serif 4" w:hAnsi="Source Serif 4" w:cs="Source Serif 4"/>
          <w:color w:val="231F20"/>
          <w:sz w:val="20"/>
          <w:szCs w:val="20"/>
        </w:rPr>
        <w:t xml:space="preserve">зладів).  </w:t>
      </w:r>
    </w:p>
    <w:p w14:paraId="00000035" w14:textId="77777777" w:rsidR="005534B5" w:rsidRDefault="006C3692">
      <w:pPr>
        <w:widowControl w:val="0"/>
        <w:pBdr>
          <w:top w:val="nil"/>
          <w:left w:val="nil"/>
          <w:bottom w:val="nil"/>
          <w:right w:val="nil"/>
          <w:between w:val="nil"/>
        </w:pBdr>
        <w:spacing w:before="6" w:line="239" w:lineRule="auto"/>
        <w:ind w:right="634" w:firstLine="9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Пацієнтам із групи ЛГ обовʼязково прово дили: тест із 6-хвилинною ходьбою (6-ХТ), спі рометрію, визначення ДЗЛМВ та газів </w:t>
      </w:r>
      <w:proofErr w:type="gramStart"/>
      <w:r>
        <w:rPr>
          <w:rFonts w:ascii="Source Serif 4" w:eastAsia="Source Serif 4" w:hAnsi="Source Serif 4" w:cs="Source Serif 4"/>
          <w:color w:val="231F20"/>
          <w:sz w:val="20"/>
          <w:szCs w:val="20"/>
        </w:rPr>
        <w:t>крові,  аналіз</w:t>
      </w:r>
      <w:proofErr w:type="gramEnd"/>
      <w:r>
        <w:rPr>
          <w:rFonts w:ascii="Source Serif 4" w:eastAsia="Source Serif 4" w:hAnsi="Source Serif 4" w:cs="Source Serif 4"/>
          <w:color w:val="231F20"/>
          <w:sz w:val="20"/>
          <w:szCs w:val="20"/>
        </w:rPr>
        <w:t xml:space="preserve"> крові на N-кінцевий мозковий натрій уретичний пептид (N-КМНУП), ехокардіогра фію (ЕхоКГ) та КПС. Контрольній групі здор</w:t>
      </w:r>
      <w:r>
        <w:rPr>
          <w:rFonts w:ascii="Source Serif 4" w:eastAsia="Source Serif 4" w:hAnsi="Source Serif 4" w:cs="Source Serif 4"/>
          <w:color w:val="231F20"/>
          <w:sz w:val="20"/>
          <w:szCs w:val="20"/>
        </w:rPr>
        <w:t xml:space="preserve">о вих осіб проводили спірометрію та оцінювали ДЗЛМВ. </w:t>
      </w:r>
    </w:p>
    <w:p w14:paraId="00000036" w14:textId="77777777" w:rsidR="005534B5" w:rsidRDefault="006C3692">
      <w:pPr>
        <w:widowControl w:val="0"/>
        <w:pBdr>
          <w:top w:val="nil"/>
          <w:left w:val="nil"/>
          <w:bottom w:val="nil"/>
          <w:right w:val="nil"/>
          <w:between w:val="nil"/>
        </w:pBdr>
        <w:spacing w:before="6" w:line="239" w:lineRule="auto"/>
        <w:ind w:right="634" w:firstLine="9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6-ХТ проводили за стандартною методи кою, базуючись на протоколі Американського торакального товариства [29]. Визначали дис танцію, яку пацієнт проходить протягом 6  </w:t>
      </w:r>
    </w:p>
    <w:p w14:paraId="00000037" w14:textId="77777777" w:rsidR="005534B5" w:rsidRDefault="006C3692">
      <w:pPr>
        <w:widowControl w:val="0"/>
        <w:pBdr>
          <w:top w:val="nil"/>
          <w:left w:val="nil"/>
          <w:bottom w:val="nil"/>
          <w:right w:val="nil"/>
          <w:between w:val="nil"/>
        </w:pBdr>
        <w:spacing w:before="6" w:line="240" w:lineRule="auto"/>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хвилин, та ступінь задишки за Borg.</w:t>
      </w:r>
      <w:r>
        <w:rPr>
          <w:rFonts w:ascii="Source Serif 4" w:eastAsia="Source Serif 4" w:hAnsi="Source Serif 4" w:cs="Source Serif 4"/>
          <w:color w:val="231F20"/>
          <w:sz w:val="20"/>
          <w:szCs w:val="20"/>
        </w:rPr>
        <w:t xml:space="preserve">  </w:t>
      </w:r>
    </w:p>
    <w:p w14:paraId="00000038" w14:textId="77777777" w:rsidR="005534B5" w:rsidRDefault="006C3692">
      <w:pPr>
        <w:widowControl w:val="0"/>
        <w:pBdr>
          <w:top w:val="nil"/>
          <w:left w:val="nil"/>
          <w:bottom w:val="nil"/>
          <w:right w:val="nil"/>
          <w:between w:val="nil"/>
        </w:pBdr>
        <w:spacing w:before="6" w:line="239" w:lineRule="auto"/>
        <w:ind w:right="633"/>
        <w:jc w:val="right"/>
        <w:rPr>
          <w:rFonts w:ascii="Source Serif 4" w:eastAsia="Source Serif 4" w:hAnsi="Source Serif 4" w:cs="Source Serif 4"/>
          <w:color w:val="231F20"/>
          <w:sz w:val="20"/>
          <w:szCs w:val="20"/>
        </w:rPr>
        <w:sectPr w:rsidR="005534B5">
          <w:type w:val="continuous"/>
          <w:pgSz w:w="12180" w:h="16440"/>
          <w:pgMar w:top="1170" w:right="747" w:bottom="1145" w:left="1133" w:header="0" w:footer="720" w:gutter="0"/>
          <w:cols w:num="2" w:space="720" w:equalWidth="0">
            <w:col w:w="5160" w:space="0"/>
            <w:col w:w="5160" w:space="0"/>
          </w:cols>
        </w:sectPr>
      </w:pPr>
      <w:r>
        <w:rPr>
          <w:rFonts w:ascii="Source Serif 4" w:eastAsia="Source Serif 4" w:hAnsi="Source Serif 4" w:cs="Source Serif 4"/>
          <w:color w:val="231F20"/>
          <w:sz w:val="20"/>
          <w:szCs w:val="20"/>
        </w:rPr>
        <w:t>Зразки для визначення рівня НКМНУП брали вранці натще з плазми венозної крові,  транспортували у вакутайнерах із літій-гепа-</w:t>
      </w:r>
    </w:p>
    <w:p w14:paraId="00000039" w14:textId="77777777" w:rsidR="005534B5" w:rsidRDefault="006C3692">
      <w:pPr>
        <w:widowControl w:val="0"/>
        <w:pBdr>
          <w:top w:val="nil"/>
          <w:left w:val="nil"/>
          <w:bottom w:val="nil"/>
          <w:right w:val="nil"/>
          <w:between w:val="nil"/>
        </w:pBdr>
        <w:spacing w:line="240" w:lineRule="auto"/>
        <w:ind w:right="379"/>
        <w:jc w:val="right"/>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rPr>
        <w:lastRenderedPageBreak/>
        <w:t xml:space="preserve">56 </w:t>
      </w:r>
      <w:r>
        <w:rPr>
          <w:color w:val="005769"/>
          <w:sz w:val="23"/>
          <w:szCs w:val="23"/>
          <w:vertAlign w:val="superscript"/>
        </w:rPr>
        <w:t>Кардіохірургія та інтервенційна кардіологія. 2024; Том 13, № 3 С.О. Прогонов та співавт.</w:t>
      </w:r>
      <w:r>
        <w:rPr>
          <w:color w:val="005769"/>
          <w:sz w:val="14"/>
          <w:szCs w:val="14"/>
        </w:rPr>
        <w:t xml:space="preserve"> </w:t>
      </w:r>
    </w:p>
    <w:p w14:paraId="0000003A" w14:textId="77777777" w:rsidR="005534B5" w:rsidRDefault="006C3692">
      <w:pPr>
        <w:widowControl w:val="0"/>
        <w:pBdr>
          <w:top w:val="nil"/>
          <w:left w:val="nil"/>
          <w:bottom w:val="nil"/>
          <w:right w:val="nil"/>
          <w:between w:val="nil"/>
        </w:pBdr>
        <w:spacing w:before="320" w:line="240" w:lineRule="auto"/>
        <w:rPr>
          <w:color w:val="FFFFFF"/>
          <w:sz w:val="18"/>
          <w:szCs w:val="18"/>
        </w:rPr>
      </w:pPr>
      <w:r>
        <w:rPr>
          <w:color w:val="FFFFFF"/>
          <w:sz w:val="30"/>
          <w:szCs w:val="30"/>
          <w:vertAlign w:val="subscript"/>
        </w:rPr>
        <w:lastRenderedPageBreak/>
        <w:t>ОРИГІНАЛЬНІ</w:t>
      </w:r>
      <w:r>
        <w:rPr>
          <w:color w:val="FFFFFF"/>
          <w:sz w:val="18"/>
          <w:szCs w:val="18"/>
        </w:rPr>
        <w:t xml:space="preserve">  </w:t>
      </w:r>
    </w:p>
    <w:p w14:paraId="0000003B" w14:textId="77777777" w:rsidR="005534B5" w:rsidRDefault="006C3692">
      <w:pPr>
        <w:widowControl w:val="0"/>
        <w:pBdr>
          <w:top w:val="nil"/>
          <w:left w:val="nil"/>
          <w:bottom w:val="nil"/>
          <w:right w:val="nil"/>
          <w:between w:val="nil"/>
        </w:pBdr>
        <w:spacing w:line="240" w:lineRule="auto"/>
        <w:jc w:val="center"/>
        <w:rPr>
          <w:rFonts w:ascii="Source Serif 4" w:eastAsia="Source Serif 4" w:hAnsi="Source Serif 4" w:cs="Source Serif 4"/>
          <w:color w:val="231F20"/>
          <w:sz w:val="20"/>
          <w:szCs w:val="20"/>
        </w:rPr>
      </w:pPr>
      <w:r>
        <w:rPr>
          <w:color w:val="FFFFFF"/>
          <w:sz w:val="30"/>
          <w:szCs w:val="30"/>
          <w:vertAlign w:val="subscript"/>
        </w:rPr>
        <w:t>ДОСЛІДЖЕНН</w:t>
      </w:r>
      <w:r>
        <w:rPr>
          <w:color w:val="FFFFFF"/>
          <w:sz w:val="30"/>
          <w:szCs w:val="30"/>
          <w:vertAlign w:val="superscript"/>
        </w:rPr>
        <w:t>Я</w:t>
      </w:r>
      <w:r>
        <w:rPr>
          <w:rFonts w:ascii="Source Serif 4" w:eastAsia="Source Serif 4" w:hAnsi="Source Serif 4" w:cs="Source Serif 4"/>
          <w:color w:val="231F20"/>
          <w:sz w:val="33"/>
          <w:szCs w:val="33"/>
          <w:vertAlign w:val="superscript"/>
        </w:rPr>
        <w:t xml:space="preserve">рином і гелем, після центрифугування, в холо </w:t>
      </w:r>
      <w:r>
        <w:rPr>
          <w:rFonts w:ascii="Source Serif 4" w:eastAsia="Source Serif 4" w:hAnsi="Source Serif 4" w:cs="Source Serif 4"/>
          <w:color w:val="231F20"/>
          <w:sz w:val="20"/>
          <w:szCs w:val="20"/>
        </w:rPr>
        <w:t xml:space="preserve">дильнику в температурному режимі від 2 до </w:t>
      </w:r>
    </w:p>
    <w:p w14:paraId="0000003C" w14:textId="77777777" w:rsidR="005534B5" w:rsidRDefault="006C3692">
      <w:pPr>
        <w:widowControl w:val="0"/>
        <w:pBdr>
          <w:top w:val="nil"/>
          <w:left w:val="nil"/>
          <w:bottom w:val="nil"/>
          <w:right w:val="nil"/>
          <w:between w:val="nil"/>
        </w:pBdr>
        <w:spacing w:line="239" w:lineRule="auto"/>
        <w:ind w:left="635"/>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25 </w:t>
      </w:r>
      <w:r>
        <w:rPr>
          <w:rFonts w:ascii="Times New Roman" w:eastAsia="Times New Roman" w:hAnsi="Times New Roman" w:cs="Times New Roman"/>
          <w:color w:val="231F20"/>
          <w:sz w:val="20"/>
          <w:szCs w:val="20"/>
        </w:rPr>
        <w:t>°</w:t>
      </w:r>
      <w:r>
        <w:rPr>
          <w:rFonts w:ascii="Source Serif 4" w:eastAsia="Source Serif 4" w:hAnsi="Source Serif 4" w:cs="Source Serif 4"/>
          <w:color w:val="231F20"/>
          <w:sz w:val="20"/>
          <w:szCs w:val="20"/>
        </w:rPr>
        <w:t xml:space="preserve">С, та надалі обробляли методом хемілюмі несцентного аналізу.  </w:t>
      </w:r>
    </w:p>
    <w:p w14:paraId="0000003D" w14:textId="77777777" w:rsidR="005534B5" w:rsidRDefault="006C3692">
      <w:pPr>
        <w:widowControl w:val="0"/>
        <w:pBdr>
          <w:top w:val="nil"/>
          <w:left w:val="nil"/>
          <w:bottom w:val="nil"/>
          <w:right w:val="nil"/>
          <w:between w:val="nil"/>
        </w:pBdr>
        <w:spacing w:before="6" w:line="239" w:lineRule="auto"/>
        <w:ind w:left="626" w:firstLine="292"/>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ЕхоКГ виконували на апараті Aplio </w:t>
      </w:r>
      <w:proofErr w:type="gramStart"/>
      <w:r>
        <w:rPr>
          <w:rFonts w:ascii="Source Serif 4" w:eastAsia="Source Serif 4" w:hAnsi="Source Serif 4" w:cs="Source Serif 4"/>
          <w:color w:val="231F20"/>
          <w:sz w:val="20"/>
          <w:szCs w:val="20"/>
        </w:rPr>
        <w:t>Artida  SSH</w:t>
      </w:r>
      <w:proofErr w:type="gramEnd"/>
      <w:r>
        <w:rPr>
          <w:rFonts w:ascii="Source Serif 4" w:eastAsia="Source Serif 4" w:hAnsi="Source Serif 4" w:cs="Source Serif 4"/>
          <w:color w:val="231F20"/>
          <w:sz w:val="20"/>
          <w:szCs w:val="20"/>
        </w:rPr>
        <w:t>-880 CV (Toshiba, Японія) з використанням секторального датчика PST-30ВТ (2–4 МГц).  Протокол передбачав визначення та обчис лення параметрів, рекомендованих для оці нювання в останніх рекомендаціях ESC/ERS  202</w:t>
      </w:r>
      <w:r>
        <w:rPr>
          <w:rFonts w:ascii="Source Serif 4" w:eastAsia="Source Serif 4" w:hAnsi="Source Serif 4" w:cs="Source Serif 4"/>
          <w:color w:val="231F20"/>
          <w:sz w:val="20"/>
          <w:szCs w:val="20"/>
        </w:rPr>
        <w:t>2: площа правого передсердя (ПП), співвід ношення базальних розмірів правого та лівого шлуночка (ПШ/ЛШ), екскурсія кільця трикус підального клапана (TAPSE – tricuspid annular  plane systolic excursion), пікова систолічна швидкість руху трикуспідального кіл</w:t>
      </w:r>
      <w:r>
        <w:rPr>
          <w:rFonts w:ascii="Source Serif 4" w:eastAsia="Source Serif 4" w:hAnsi="Source Serif 4" w:cs="Source Serif 4"/>
          <w:color w:val="231F20"/>
          <w:sz w:val="20"/>
          <w:szCs w:val="20"/>
        </w:rPr>
        <w:t xml:space="preserve">ьця (Sʼ),  визначена за допомогою тканинної доппле рографії, </w:t>
      </w:r>
      <w:r>
        <w:rPr>
          <w:rFonts w:ascii="Source Serif 4" w:eastAsia="Source Serif 4" w:hAnsi="Source Serif 4" w:cs="Source Serif 4"/>
          <w:color w:val="231F20"/>
          <w:sz w:val="20"/>
          <w:szCs w:val="20"/>
        </w:rPr>
        <w:lastRenderedPageBreak/>
        <w:t>швидкість регургітації на трикус підальному клапані, розмір та колабування нижньої порожнистої вени, систолічний тиск у легеневій артерії, індекс ексцентричності лівого шлуночка під час систоли т</w:t>
      </w:r>
      <w:r>
        <w:rPr>
          <w:rFonts w:ascii="Source Serif 4" w:eastAsia="Source Serif 4" w:hAnsi="Source Serif 4" w:cs="Source Serif 4"/>
          <w:color w:val="231F20"/>
          <w:sz w:val="20"/>
          <w:szCs w:val="20"/>
        </w:rPr>
        <w:t xml:space="preserve">а діастоли, а також наявність чи відсутність перикардіаль ного випоту [1]. </w:t>
      </w:r>
    </w:p>
    <w:p w14:paraId="0000003E" w14:textId="77777777" w:rsidR="005534B5" w:rsidRDefault="006C3692">
      <w:pPr>
        <w:widowControl w:val="0"/>
        <w:pBdr>
          <w:top w:val="nil"/>
          <w:left w:val="nil"/>
          <w:bottom w:val="nil"/>
          <w:right w:val="nil"/>
          <w:between w:val="nil"/>
        </w:pBdr>
        <w:spacing w:before="6" w:line="239" w:lineRule="auto"/>
        <w:ind w:left="632" w:firstLine="28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КПС проводили за стандартним прото - колом із вимірюванням тиску в правому передсерді та шлуночку, ЛА та ТЗЛА. Для оцінки газового складу крові брали зразки із ЛА, стегнової артерії та, за необхіднос ті, із верхньої і нижньої порожнистої вен.  </w:t>
      </w:r>
    </w:p>
    <w:p w14:paraId="0000003F" w14:textId="77777777" w:rsidR="005534B5" w:rsidRDefault="006C3692">
      <w:pPr>
        <w:widowControl w:val="0"/>
        <w:pBdr>
          <w:top w:val="nil"/>
          <w:left w:val="nil"/>
          <w:bottom w:val="nil"/>
          <w:right w:val="nil"/>
          <w:between w:val="nil"/>
        </w:pBdr>
        <w:spacing w:before="6" w:line="239" w:lineRule="auto"/>
        <w:ind w:left="630" w:firstLine="6"/>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Оцінювання </w:t>
      </w:r>
      <w:r>
        <w:rPr>
          <w:rFonts w:ascii="Source Serif 4" w:eastAsia="Source Serif 4" w:hAnsi="Source Serif 4" w:cs="Source Serif 4"/>
          <w:color w:val="231F20"/>
          <w:sz w:val="20"/>
          <w:szCs w:val="20"/>
        </w:rPr>
        <w:t xml:space="preserve">гемодинаміки проводили шля хом вимірювання методом термодилюції хвилинного обʼєму крові (ХОК) з викорис танням термодилюційного катетера </w:t>
      </w:r>
      <w:proofErr w:type="gramStart"/>
      <w:r>
        <w:rPr>
          <w:rFonts w:ascii="Source Serif 4" w:eastAsia="Source Serif 4" w:hAnsi="Source Serif 4" w:cs="Source Serif 4"/>
          <w:color w:val="231F20"/>
          <w:sz w:val="20"/>
          <w:szCs w:val="20"/>
        </w:rPr>
        <w:t>Свана  –</w:t>
      </w:r>
      <w:proofErr w:type="gramEnd"/>
      <w:r>
        <w:rPr>
          <w:rFonts w:ascii="Source Serif 4" w:eastAsia="Source Serif 4" w:hAnsi="Source Serif 4" w:cs="Source Serif 4"/>
          <w:color w:val="231F20"/>
          <w:sz w:val="20"/>
          <w:szCs w:val="20"/>
        </w:rPr>
        <w:t xml:space="preserve">  </w:t>
      </w:r>
    </w:p>
    <w:p w14:paraId="00000040" w14:textId="77777777" w:rsidR="005534B5" w:rsidRDefault="006C3692">
      <w:pPr>
        <w:widowControl w:val="0"/>
        <w:pBdr>
          <w:top w:val="nil"/>
          <w:left w:val="nil"/>
          <w:bottom w:val="nil"/>
          <w:right w:val="nil"/>
          <w:between w:val="nil"/>
        </w:pBdr>
        <w:spacing w:before="6" w:line="239" w:lineRule="auto"/>
        <w:ind w:left="629" w:firstLine="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Ганца (Edwards LifeSciences, Argon, США, або B. Braun, Німеччина) розміром 7F та реані маційно-хірургічного монітора ЮМ 300 І</w:t>
      </w:r>
      <w:proofErr w:type="gramStart"/>
      <w:r>
        <w:rPr>
          <w:rFonts w:ascii="Source Serif 4" w:eastAsia="Source Serif 4" w:hAnsi="Source Serif 4" w:cs="Source Serif 4"/>
          <w:color w:val="231F20"/>
          <w:sz w:val="20"/>
          <w:szCs w:val="20"/>
        </w:rPr>
        <w:t>15  виробництва</w:t>
      </w:r>
      <w:proofErr w:type="gramEnd"/>
      <w:r>
        <w:rPr>
          <w:rFonts w:ascii="Source Serif 4" w:eastAsia="Source Serif 4" w:hAnsi="Source Serif 4" w:cs="Source Serif 4"/>
          <w:color w:val="231F20"/>
          <w:sz w:val="20"/>
          <w:szCs w:val="20"/>
        </w:rPr>
        <w:t xml:space="preserve"> «Ютас» (Україна) із вбудовани ми електронними блоками інвазивного вимі рювання артеріального тиску та термоди люції</w:t>
      </w:r>
      <w:r>
        <w:rPr>
          <w:rFonts w:ascii="Source Serif 4" w:eastAsia="Source Serif 4" w:hAnsi="Source Serif 4" w:cs="Source Serif 4"/>
          <w:color w:val="231F20"/>
          <w:sz w:val="20"/>
          <w:szCs w:val="20"/>
        </w:rPr>
        <w:t xml:space="preserve">, з наступною калькуляцією серцевого </w:t>
      </w:r>
      <w:r>
        <w:rPr>
          <w:rFonts w:ascii="Source Serif 4" w:eastAsia="Source Serif 4" w:hAnsi="Source Serif 4" w:cs="Source Serif 4"/>
          <w:color w:val="231F20"/>
          <w:sz w:val="20"/>
          <w:szCs w:val="20"/>
        </w:rPr>
        <w:lastRenderedPageBreak/>
        <w:t xml:space="preserve">індексу (СІ), ударного обʼєму, ударного індек су, ОЛС, загального легеневого опору (ЗЛО)  </w:t>
      </w:r>
    </w:p>
    <w:p w14:paraId="00000041" w14:textId="77777777" w:rsidR="005534B5" w:rsidRDefault="006C3692">
      <w:pPr>
        <w:widowControl w:val="0"/>
        <w:pBdr>
          <w:top w:val="nil"/>
          <w:left w:val="nil"/>
          <w:bottom w:val="nil"/>
          <w:right w:val="nil"/>
          <w:between w:val="nil"/>
        </w:pBdr>
        <w:spacing w:before="6" w:line="239" w:lineRule="auto"/>
        <w:ind w:left="63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та системного судинного опору [1]. У пацієн тів із ЛАГ-ВВС ХОК визначали за допомогою методу Фіка після прямого визначення міні </w:t>
      </w:r>
      <w:r>
        <w:rPr>
          <w:rFonts w:ascii="Source Serif 4" w:eastAsia="Source Serif 4" w:hAnsi="Source Serif 4" w:cs="Source Serif 4"/>
          <w:color w:val="231F20"/>
          <w:sz w:val="20"/>
          <w:szCs w:val="20"/>
        </w:rPr>
        <w:t xml:space="preserve">мального поглинання кисню за допомогою системи для комплексної оцінки легеневої функції ErgostikTM (Geratherm Respiratory,  </w:t>
      </w:r>
    </w:p>
    <w:p w14:paraId="00000042" w14:textId="77777777" w:rsidR="005534B5" w:rsidRDefault="006C3692">
      <w:pPr>
        <w:widowControl w:val="0"/>
        <w:pBdr>
          <w:top w:val="nil"/>
          <w:left w:val="nil"/>
          <w:bottom w:val="nil"/>
          <w:right w:val="nil"/>
          <w:between w:val="nil"/>
        </w:pBdr>
        <w:spacing w:before="6" w:line="239" w:lineRule="auto"/>
        <w:ind w:left="633"/>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Німеччина) та програмного забезпечення Blue Cherry V1.3.2.0 (Geratherm </w:t>
      </w:r>
      <w:proofErr w:type="gramStart"/>
      <w:r>
        <w:rPr>
          <w:rFonts w:ascii="Source Serif 4" w:eastAsia="Source Serif 4" w:hAnsi="Source Serif 4" w:cs="Source Serif 4"/>
          <w:color w:val="231F20"/>
          <w:sz w:val="20"/>
          <w:szCs w:val="20"/>
        </w:rPr>
        <w:t>Respiratory,  Німеччина</w:t>
      </w:r>
      <w:proofErr w:type="gramEnd"/>
      <w:r>
        <w:rPr>
          <w:rFonts w:ascii="Source Serif 4" w:eastAsia="Source Serif 4" w:hAnsi="Source Serif 4" w:cs="Source Serif 4"/>
          <w:color w:val="231F20"/>
          <w:sz w:val="20"/>
          <w:szCs w:val="20"/>
        </w:rPr>
        <w:t xml:space="preserve">).  </w:t>
      </w:r>
    </w:p>
    <w:p w14:paraId="00000043" w14:textId="77777777" w:rsidR="005534B5" w:rsidRDefault="006C3692">
      <w:pPr>
        <w:widowControl w:val="0"/>
        <w:pBdr>
          <w:top w:val="nil"/>
          <w:left w:val="nil"/>
          <w:bottom w:val="nil"/>
          <w:right w:val="nil"/>
          <w:between w:val="nil"/>
        </w:pBdr>
        <w:spacing w:before="6" w:line="237" w:lineRule="auto"/>
        <w:ind w:left="632"/>
        <w:jc w:val="right"/>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Параметри ФЗД та ДЗМВ вимірювали за допомогою спірометра з дифузією Dif - fustik</w:t>
      </w:r>
      <w:r>
        <w:rPr>
          <w:rFonts w:ascii="Source Serif 4" w:eastAsia="Source Serif 4" w:hAnsi="Source Serif 4" w:cs="Source Serif 4"/>
          <w:color w:val="231F20"/>
          <w:sz w:val="23"/>
          <w:szCs w:val="23"/>
          <w:vertAlign w:val="superscript"/>
        </w:rPr>
        <w:t>TM</w:t>
      </w:r>
      <w:r>
        <w:rPr>
          <w:rFonts w:ascii="Source Serif 4" w:eastAsia="Source Serif 4" w:hAnsi="Source Serif 4" w:cs="Source Serif 4"/>
          <w:color w:val="231F20"/>
          <w:sz w:val="14"/>
          <w:szCs w:val="14"/>
        </w:rPr>
        <w:t xml:space="preserve"> </w:t>
      </w:r>
      <w:r>
        <w:rPr>
          <w:rFonts w:ascii="Source Serif 4" w:eastAsia="Source Serif 4" w:hAnsi="Source Serif 4" w:cs="Source Serif 4"/>
          <w:color w:val="231F20"/>
          <w:sz w:val="20"/>
          <w:szCs w:val="20"/>
        </w:rPr>
        <w:t xml:space="preserve">(Geratherm Respiratory, </w:t>
      </w:r>
      <w:proofErr w:type="gramStart"/>
      <w:r>
        <w:rPr>
          <w:rFonts w:ascii="Source Serif 4" w:eastAsia="Source Serif 4" w:hAnsi="Source Serif 4" w:cs="Source Serif 4"/>
          <w:color w:val="231F20"/>
          <w:sz w:val="20"/>
          <w:szCs w:val="20"/>
        </w:rPr>
        <w:t>Німеччина)  та</w:t>
      </w:r>
      <w:proofErr w:type="gramEnd"/>
      <w:r>
        <w:rPr>
          <w:rFonts w:ascii="Source Serif 4" w:eastAsia="Source Serif 4" w:hAnsi="Source Serif 4" w:cs="Source Serif 4"/>
          <w:color w:val="231F20"/>
          <w:sz w:val="20"/>
          <w:szCs w:val="20"/>
        </w:rPr>
        <w:t xml:space="preserve"> програмного забезпечення Blue Cherry  </w:t>
      </w:r>
    </w:p>
    <w:p w14:paraId="00000044" w14:textId="77777777" w:rsidR="005534B5" w:rsidRDefault="006C3692">
      <w:pPr>
        <w:widowControl w:val="0"/>
        <w:pBdr>
          <w:top w:val="nil"/>
          <w:left w:val="nil"/>
          <w:bottom w:val="nil"/>
          <w:right w:val="nil"/>
          <w:between w:val="nil"/>
        </w:pBdr>
        <w:spacing w:before="132" w:line="239" w:lineRule="auto"/>
        <w:ind w:left="430" w:right="7"/>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V1.3.2.0 (Geratherm Respiratory, Німеччина).  Оцінювали такі показники: ЖЄЛ, форсовану життєву </w:t>
      </w:r>
      <w:r>
        <w:rPr>
          <w:rFonts w:ascii="Source Serif 4" w:eastAsia="Source Serif 4" w:hAnsi="Source Serif 4" w:cs="Source Serif 4"/>
          <w:color w:val="231F20"/>
          <w:sz w:val="20"/>
          <w:szCs w:val="20"/>
        </w:rPr>
        <w:t xml:space="preserve">ємність легень (ФЖЄЛ), ОФВ1, пікову швидкість видиху (ПШВ), максимальні обʼємні швидкості видиху (МОШ-75, МОШ-50, МОШ 25). У разі зниження рівнів показників, що характеризують обструктивні зміни (ОФВ1,  </w:t>
      </w:r>
    </w:p>
    <w:p w14:paraId="00000045" w14:textId="77777777" w:rsidR="005534B5" w:rsidRDefault="006C3692">
      <w:pPr>
        <w:widowControl w:val="0"/>
        <w:pBdr>
          <w:top w:val="nil"/>
          <w:left w:val="nil"/>
          <w:bottom w:val="nil"/>
          <w:right w:val="nil"/>
          <w:between w:val="nil"/>
        </w:pBdr>
        <w:spacing w:before="6" w:line="239" w:lineRule="auto"/>
        <w:ind w:left="430" w:right="63" w:firstLine="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МОШ-75, МОШ-50, МОШ-25), додатково прово дили бронхо</w:t>
      </w:r>
      <w:r>
        <w:rPr>
          <w:rFonts w:ascii="Source Serif 4" w:eastAsia="Source Serif 4" w:hAnsi="Source Serif 4" w:cs="Source Serif 4"/>
          <w:color w:val="231F20"/>
          <w:sz w:val="20"/>
          <w:szCs w:val="20"/>
        </w:rPr>
        <w:t xml:space="preserve">дилатаційну пробу із сальбутамо лом для подальшого визначення їх зворотнос ті чи незворотності.  </w:t>
      </w:r>
    </w:p>
    <w:p w14:paraId="00000046" w14:textId="77777777" w:rsidR="005534B5" w:rsidRDefault="006C3692">
      <w:pPr>
        <w:widowControl w:val="0"/>
        <w:pBdr>
          <w:top w:val="nil"/>
          <w:left w:val="nil"/>
          <w:bottom w:val="nil"/>
          <w:right w:val="nil"/>
          <w:between w:val="nil"/>
        </w:pBdr>
        <w:spacing w:before="6" w:line="239" w:lineRule="auto"/>
        <w:ind w:left="430" w:right="7" w:firstLine="288"/>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Було створено єдину базу даних </w:t>
      </w:r>
      <w:proofErr w:type="gramStart"/>
      <w:r>
        <w:rPr>
          <w:rFonts w:ascii="Source Serif 4" w:eastAsia="Source Serif 4" w:hAnsi="Source Serif 4" w:cs="Source Serif 4"/>
          <w:color w:val="231F20"/>
          <w:sz w:val="20"/>
          <w:szCs w:val="20"/>
        </w:rPr>
        <w:t>пацієнтів,  залучених</w:t>
      </w:r>
      <w:proofErr w:type="gramEnd"/>
      <w:r>
        <w:rPr>
          <w:rFonts w:ascii="Source Serif 4" w:eastAsia="Source Serif 4" w:hAnsi="Source Serif 4" w:cs="Source Serif 4"/>
          <w:color w:val="231F20"/>
          <w:sz w:val="20"/>
          <w:szCs w:val="20"/>
        </w:rPr>
        <w:t xml:space="preserve"> у дослідження. Статистичний ана ліз виконували за допомогою статистичного пакета для соціальних наук (IBM SPSS </w:t>
      </w:r>
      <w:proofErr w:type="gramStart"/>
      <w:r>
        <w:rPr>
          <w:rFonts w:ascii="Source Serif 4" w:eastAsia="Source Serif 4" w:hAnsi="Source Serif 4" w:cs="Source Serif 4"/>
          <w:color w:val="231F20"/>
          <w:sz w:val="20"/>
          <w:szCs w:val="20"/>
        </w:rPr>
        <w:t>Statistics,  версія</w:t>
      </w:r>
      <w:proofErr w:type="gramEnd"/>
      <w:r>
        <w:rPr>
          <w:rFonts w:ascii="Source Serif 4" w:eastAsia="Source Serif 4" w:hAnsi="Source Serif 4" w:cs="Source Serif 4"/>
          <w:color w:val="231F20"/>
          <w:sz w:val="20"/>
          <w:szCs w:val="20"/>
        </w:rPr>
        <w:t xml:space="preserve"> 27.0, SPSS Inc., США). Усі досліджувані показники були відображені як ча</w:t>
      </w:r>
      <w:r>
        <w:rPr>
          <w:rFonts w:ascii="Source Serif 4" w:eastAsia="Source Serif 4" w:hAnsi="Source Serif 4" w:cs="Source Serif 4"/>
          <w:color w:val="231F20"/>
          <w:sz w:val="20"/>
          <w:szCs w:val="20"/>
        </w:rPr>
        <w:t xml:space="preserve">стка у від сотках або як середнє значення і середньо квадратична похибка (СКП). Було проведено оцінку відмінностей між групами за допомо </w:t>
      </w:r>
      <w:r>
        <w:rPr>
          <w:rFonts w:ascii="Source Serif 4" w:eastAsia="Source Serif 4" w:hAnsi="Source Serif 4" w:cs="Source Serif 4"/>
          <w:color w:val="231F20"/>
          <w:sz w:val="20"/>
          <w:szCs w:val="20"/>
        </w:rPr>
        <w:lastRenderedPageBreak/>
        <w:t>гою t-критерію незалежної вибірки та оцін ку асоціацій між показниками, що вимірю вались, за допомогою кореляційного ан</w:t>
      </w:r>
      <w:r>
        <w:rPr>
          <w:rFonts w:ascii="Source Serif 4" w:eastAsia="Source Serif 4" w:hAnsi="Source Serif 4" w:cs="Source Serif 4"/>
          <w:color w:val="231F20"/>
          <w:sz w:val="20"/>
          <w:szCs w:val="20"/>
        </w:rPr>
        <w:t xml:space="preserve">алізу Спірмена. Статистично значущими вважали показники р &lt; 0,05. Статистично значущими кореляційні звʼязки (р &lt; 0,05) у подальшому оцінювали за допомогою багатофакторного регресійного аналізу. Окрім того, для визна чення предикторів зниженого рівня ДЗЛМВ </w:t>
      </w:r>
      <w:r>
        <w:rPr>
          <w:rFonts w:ascii="Source Serif 4" w:eastAsia="Source Serif 4" w:hAnsi="Source Serif 4" w:cs="Source Serif 4"/>
          <w:color w:val="231F20"/>
          <w:sz w:val="20"/>
          <w:szCs w:val="20"/>
        </w:rPr>
        <w:t xml:space="preserve">використано логістичний регресійний аналіз.  </w:t>
      </w:r>
    </w:p>
    <w:p w14:paraId="00000047" w14:textId="77777777" w:rsidR="005534B5" w:rsidRDefault="006C3692">
      <w:pPr>
        <w:widowControl w:val="0"/>
        <w:pBdr>
          <w:top w:val="nil"/>
          <w:left w:val="nil"/>
          <w:bottom w:val="nil"/>
          <w:right w:val="nil"/>
          <w:between w:val="nil"/>
        </w:pBdr>
        <w:spacing w:before="6" w:line="239" w:lineRule="auto"/>
        <w:ind w:left="430" w:right="56" w:firstLine="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Величину ДЗЛМВ, за якою пацієнтів з ЛГ було розділено підгрупи, визначали після оцінки гістограми розподілу пацієнтів із визначеним показником та встановлення 50 % проценти ля. Доцільність обраної моделі для ре</w:t>
      </w:r>
      <w:r>
        <w:rPr>
          <w:rFonts w:ascii="Source Serif 4" w:eastAsia="Source Serif 4" w:hAnsi="Source Serif 4" w:cs="Source Serif 4"/>
          <w:color w:val="231F20"/>
          <w:sz w:val="20"/>
          <w:szCs w:val="20"/>
        </w:rPr>
        <w:t xml:space="preserve">гресій ного аналізу оцінювали за допомогою тесту ANOVA.  </w:t>
      </w:r>
    </w:p>
    <w:p w14:paraId="00000048" w14:textId="77777777" w:rsidR="005534B5" w:rsidRDefault="006C3692">
      <w:pPr>
        <w:widowControl w:val="0"/>
        <w:pBdr>
          <w:top w:val="nil"/>
          <w:left w:val="nil"/>
          <w:bottom w:val="nil"/>
          <w:right w:val="nil"/>
          <w:between w:val="nil"/>
        </w:pBdr>
        <w:spacing w:before="298" w:line="240" w:lineRule="auto"/>
        <w:ind w:left="443"/>
        <w:rPr>
          <w:b/>
          <w:color w:val="005769"/>
          <w:sz w:val="24"/>
          <w:szCs w:val="24"/>
        </w:rPr>
      </w:pPr>
      <w:r>
        <w:rPr>
          <w:b/>
          <w:color w:val="005769"/>
          <w:sz w:val="24"/>
          <w:szCs w:val="24"/>
        </w:rPr>
        <w:t xml:space="preserve">Результати </w:t>
      </w:r>
    </w:p>
    <w:p w14:paraId="00000049" w14:textId="77777777" w:rsidR="005534B5" w:rsidRDefault="006C3692">
      <w:pPr>
        <w:widowControl w:val="0"/>
        <w:pBdr>
          <w:top w:val="nil"/>
          <w:left w:val="nil"/>
          <w:bottom w:val="nil"/>
          <w:right w:val="nil"/>
          <w:between w:val="nil"/>
        </w:pBdr>
        <w:spacing w:before="147" w:line="239" w:lineRule="auto"/>
        <w:ind w:left="430" w:right="7" w:firstLine="290"/>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Середній вік пацієнтів у загальній когорті хворих на ЛГ становив (47,6 ± 0,9) року, що ста тистично значущо не відрізнялося від групи контролю – (48,50 ± 3,31) року. За статтю пере важали жінки (серед усіх із ЛГ – 70,4 %, </w:t>
      </w:r>
      <w:proofErr w:type="gramStart"/>
      <w:r>
        <w:rPr>
          <w:rFonts w:ascii="Source Serif 4" w:eastAsia="Source Serif 4" w:hAnsi="Source Serif 4" w:cs="Source Serif 4"/>
          <w:color w:val="231F20"/>
          <w:sz w:val="20"/>
          <w:szCs w:val="20"/>
        </w:rPr>
        <w:t>ІЛАГ  –</w:t>
      </w:r>
      <w:proofErr w:type="gramEnd"/>
      <w:r>
        <w:rPr>
          <w:rFonts w:ascii="Source Serif 4" w:eastAsia="Source Serif 4" w:hAnsi="Source Serif 4" w:cs="Source Serif 4"/>
          <w:color w:val="231F20"/>
          <w:sz w:val="20"/>
          <w:szCs w:val="20"/>
        </w:rPr>
        <w:t xml:space="preserve">  </w:t>
      </w:r>
    </w:p>
    <w:p w14:paraId="0000004A" w14:textId="77777777" w:rsidR="005534B5" w:rsidRDefault="006C3692">
      <w:pPr>
        <w:widowControl w:val="0"/>
        <w:pBdr>
          <w:top w:val="nil"/>
          <w:left w:val="nil"/>
          <w:bottom w:val="nil"/>
          <w:right w:val="nil"/>
          <w:between w:val="nil"/>
        </w:pBdr>
        <w:spacing w:before="6" w:line="239" w:lineRule="auto"/>
        <w:ind w:left="433" w:right="62" w:firstLine="4"/>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72,2 %, ЛАГ-ВВС – 66,7 %</w:t>
      </w:r>
      <w:r>
        <w:rPr>
          <w:rFonts w:ascii="Source Serif 4" w:eastAsia="Source Serif 4" w:hAnsi="Source Serif 4" w:cs="Source Serif 4"/>
          <w:color w:val="231F20"/>
          <w:sz w:val="20"/>
          <w:szCs w:val="20"/>
        </w:rPr>
        <w:t xml:space="preserve">, ХТЕЛГ – 71,4 %, кон - трольна група – 70 %).  </w:t>
      </w:r>
    </w:p>
    <w:p w14:paraId="0000004B" w14:textId="77777777" w:rsidR="005534B5" w:rsidRDefault="006C3692">
      <w:pPr>
        <w:widowControl w:val="0"/>
        <w:pBdr>
          <w:top w:val="nil"/>
          <w:left w:val="nil"/>
          <w:bottom w:val="nil"/>
          <w:right w:val="nil"/>
          <w:between w:val="nil"/>
        </w:pBdr>
        <w:spacing w:before="6" w:line="239" w:lineRule="auto"/>
        <w:ind w:left="435" w:right="8" w:firstLine="28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Загалом у всіх пацієнтів із ЛГ усі показники ФЗД, що вивчалися, були статистично значу що нижчими порівняно з контрольною гру пою </w:t>
      </w:r>
      <w:r>
        <w:rPr>
          <w:rFonts w:ascii="Source Serif 4" w:eastAsia="Source Serif 4" w:hAnsi="Source Serif 4" w:cs="Source Serif 4"/>
          <w:i/>
          <w:color w:val="231F20"/>
          <w:sz w:val="20"/>
          <w:szCs w:val="20"/>
        </w:rPr>
        <w:t>(див. табл. 1)</w:t>
      </w:r>
      <w:r>
        <w:rPr>
          <w:rFonts w:ascii="Source Serif 4" w:eastAsia="Source Serif 4" w:hAnsi="Source Serif 4" w:cs="Source Serif 4"/>
          <w:color w:val="231F20"/>
          <w:sz w:val="20"/>
          <w:szCs w:val="20"/>
        </w:rPr>
        <w:t xml:space="preserve">. Проте і ОФВ1, і ЖЄЛ у серед ньому перевищували порогове значення 70 %.  </w:t>
      </w:r>
    </w:p>
    <w:p w14:paraId="0000004C" w14:textId="77777777" w:rsidR="005534B5" w:rsidRDefault="006C3692">
      <w:pPr>
        <w:widowControl w:val="0"/>
        <w:pBdr>
          <w:top w:val="nil"/>
          <w:left w:val="nil"/>
          <w:bottom w:val="nil"/>
          <w:right w:val="nil"/>
          <w:between w:val="nil"/>
        </w:pBdr>
        <w:spacing w:before="6" w:line="239" w:lineRule="auto"/>
        <w:ind w:left="431" w:right="8" w:firstLine="3"/>
        <w:rPr>
          <w:rFonts w:ascii="Source Serif 4" w:eastAsia="Source Serif 4" w:hAnsi="Source Serif 4" w:cs="Source Serif 4"/>
          <w:color w:val="231F20"/>
          <w:sz w:val="20"/>
          <w:szCs w:val="20"/>
        </w:rPr>
        <w:sectPr w:rsidR="005534B5">
          <w:type w:val="continuous"/>
          <w:pgSz w:w="12180" w:h="16440"/>
          <w:pgMar w:top="1170" w:right="1076" w:bottom="1145" w:left="790" w:header="0" w:footer="720" w:gutter="0"/>
          <w:cols w:num="2" w:space="720" w:equalWidth="0">
            <w:col w:w="5160" w:space="0"/>
            <w:col w:w="5160" w:space="0"/>
          </w:cols>
        </w:sectPr>
      </w:pPr>
      <w:r>
        <w:rPr>
          <w:rFonts w:ascii="Source Serif 4" w:eastAsia="Source Serif 4" w:hAnsi="Source Serif 4" w:cs="Source Serif 4"/>
          <w:color w:val="231F20"/>
          <w:sz w:val="20"/>
          <w:szCs w:val="20"/>
        </w:rPr>
        <w:t>Винятком були пацієнти із ЛАГ-ВВС. У них ОФВ1 у середньому становив (65,67 ± 4,50) %.  Також у пацієнтів із ЛАГ-ВВС показник ЖЄЛ був меншим на 11,1 і 12,0 %, ніж у групі від-</w:t>
      </w:r>
    </w:p>
    <w:p w14:paraId="0000004D" w14:textId="77777777" w:rsidR="005534B5" w:rsidRDefault="006C3692">
      <w:pPr>
        <w:widowControl w:val="0"/>
        <w:pBdr>
          <w:top w:val="nil"/>
          <w:left w:val="nil"/>
          <w:bottom w:val="nil"/>
          <w:right w:val="nil"/>
          <w:between w:val="nil"/>
        </w:pBdr>
        <w:spacing w:line="479" w:lineRule="auto"/>
        <w:ind w:left="10272" w:right="228" w:hanging="9928"/>
        <w:rPr>
          <w:color w:val="FFFFFF"/>
          <w:sz w:val="18"/>
          <w:szCs w:val="18"/>
        </w:rPr>
      </w:pPr>
      <w:r>
        <w:rPr>
          <w:color w:val="231F20"/>
          <w:sz w:val="36"/>
          <w:szCs w:val="36"/>
          <w:vertAlign w:val="subscript"/>
        </w:rPr>
        <w:lastRenderedPageBreak/>
        <w:t>57</w:t>
      </w:r>
      <w:r>
        <w:rPr>
          <w:color w:val="231F20"/>
        </w:rPr>
        <w:t xml:space="preserve"> </w:t>
      </w:r>
      <w:r>
        <w:rPr>
          <w:color w:val="005769"/>
          <w:sz w:val="14"/>
          <w:szCs w:val="14"/>
        </w:rPr>
        <w:t>С.О. Прогонов та співавт. Кардіохірургія та інтервенційна кардіологія. 2024; Т</w:t>
      </w:r>
      <w:r>
        <w:rPr>
          <w:color w:val="005769"/>
          <w:sz w:val="14"/>
          <w:szCs w:val="14"/>
        </w:rPr>
        <w:t xml:space="preserve">ом 13, № 3 </w:t>
      </w:r>
      <w:r>
        <w:rPr>
          <w:color w:val="FFFFFF"/>
          <w:sz w:val="30"/>
          <w:szCs w:val="30"/>
          <w:vertAlign w:val="subscript"/>
        </w:rPr>
        <w:t>ОРИГІНАЛЬНІ</w:t>
      </w:r>
      <w:r>
        <w:rPr>
          <w:color w:val="FFFFFF"/>
          <w:sz w:val="18"/>
          <w:szCs w:val="18"/>
        </w:rPr>
        <w:t xml:space="preserve">  </w:t>
      </w:r>
    </w:p>
    <w:p w14:paraId="0000004E" w14:textId="77777777" w:rsidR="005534B5" w:rsidRDefault="006C3692">
      <w:pPr>
        <w:widowControl w:val="0"/>
        <w:pBdr>
          <w:top w:val="nil"/>
          <w:left w:val="nil"/>
          <w:bottom w:val="nil"/>
          <w:right w:val="nil"/>
          <w:between w:val="nil"/>
        </w:pBdr>
        <w:spacing w:line="240" w:lineRule="auto"/>
        <w:ind w:right="-8"/>
        <w:jc w:val="right"/>
        <w:rPr>
          <w:color w:val="FFFFFF"/>
          <w:sz w:val="18"/>
          <w:szCs w:val="18"/>
        </w:rPr>
      </w:pPr>
      <w:r>
        <w:rPr>
          <w:color w:val="FFFFFF"/>
          <w:sz w:val="30"/>
          <w:szCs w:val="30"/>
          <w:vertAlign w:val="subscript"/>
        </w:rPr>
        <w:t>ДОСЛІДЖЕНН</w:t>
      </w:r>
      <w:r>
        <w:rPr>
          <w:color w:val="FFFFFF"/>
          <w:sz w:val="18"/>
          <w:szCs w:val="18"/>
        </w:rPr>
        <w:t xml:space="preserve">Я </w:t>
      </w:r>
    </w:p>
    <w:p w14:paraId="0000004F" w14:textId="77777777" w:rsidR="005534B5" w:rsidRDefault="006C3692">
      <w:pPr>
        <w:widowControl w:val="0"/>
        <w:pBdr>
          <w:top w:val="nil"/>
          <w:left w:val="nil"/>
          <w:bottom w:val="nil"/>
          <w:right w:val="nil"/>
          <w:between w:val="nil"/>
        </w:pBdr>
        <w:spacing w:line="240" w:lineRule="auto"/>
        <w:ind w:left="601"/>
        <w:rPr>
          <w:color w:val="C0262D"/>
          <w:sz w:val="16"/>
          <w:szCs w:val="16"/>
        </w:rPr>
      </w:pPr>
      <w:r>
        <w:rPr>
          <w:color w:val="C0262D"/>
          <w:sz w:val="16"/>
          <w:szCs w:val="16"/>
        </w:rPr>
        <w:t xml:space="preserve">Таблиця 1  </w:t>
      </w:r>
    </w:p>
    <w:p w14:paraId="00000050" w14:textId="77777777" w:rsidR="005534B5" w:rsidRDefault="006C3692">
      <w:pPr>
        <w:widowControl w:val="0"/>
        <w:pBdr>
          <w:top w:val="nil"/>
          <w:left w:val="nil"/>
          <w:bottom w:val="nil"/>
          <w:right w:val="nil"/>
          <w:between w:val="nil"/>
        </w:pBdr>
        <w:spacing w:line="213" w:lineRule="auto"/>
        <w:ind w:left="600" w:right="1474" w:firstLine="9"/>
        <w:rPr>
          <w:b/>
          <w:color w:val="C0262D"/>
          <w:sz w:val="16"/>
          <w:szCs w:val="16"/>
        </w:rPr>
        <w:sectPr w:rsidR="005534B5">
          <w:type w:val="continuous"/>
          <w:pgSz w:w="12180" w:h="16440"/>
          <w:pgMar w:top="1170" w:right="756" w:bottom="1145" w:left="790" w:header="0" w:footer="720" w:gutter="0"/>
          <w:cols w:space="720" w:equalWidth="0">
            <w:col w:w="10633" w:space="0"/>
          </w:cols>
        </w:sectPr>
      </w:pPr>
      <w:r>
        <w:rPr>
          <w:b/>
          <w:color w:val="C0262D"/>
          <w:sz w:val="16"/>
          <w:szCs w:val="16"/>
        </w:rPr>
        <w:t xml:space="preserve">Клініко-демографічні параметри, показники функції зовнішнього дихання та дифузійної здатності  легень у пацієнтів із легеневою гіпертензією та здорових осіб (М±СКП або n, %) </w:t>
      </w:r>
    </w:p>
    <w:p w14:paraId="00000051" w14:textId="77777777" w:rsidR="005534B5" w:rsidRDefault="006C3692">
      <w:pPr>
        <w:widowControl w:val="0"/>
        <w:pBdr>
          <w:top w:val="nil"/>
          <w:left w:val="nil"/>
          <w:bottom w:val="nil"/>
          <w:right w:val="nil"/>
          <w:between w:val="nil"/>
        </w:pBdr>
        <w:spacing w:line="260" w:lineRule="auto"/>
        <w:rPr>
          <w:b/>
          <w:color w:val="231F20"/>
          <w:sz w:val="16"/>
          <w:szCs w:val="16"/>
        </w:rPr>
      </w:pPr>
      <w:r>
        <w:rPr>
          <w:b/>
          <w:color w:val="231F20"/>
          <w:sz w:val="26"/>
          <w:szCs w:val="26"/>
          <w:vertAlign w:val="subscript"/>
        </w:rPr>
        <w:lastRenderedPageBreak/>
        <w:t xml:space="preserve">Показник ЛГ (n = 54) </w:t>
      </w:r>
      <w:proofErr w:type="gramStart"/>
      <w:r>
        <w:rPr>
          <w:b/>
          <w:color w:val="231F20"/>
          <w:sz w:val="16"/>
          <w:szCs w:val="16"/>
        </w:rPr>
        <w:t xml:space="preserve">ІЛАГ  </w:t>
      </w:r>
      <w:r>
        <w:rPr>
          <w:b/>
          <w:color w:val="231F20"/>
          <w:sz w:val="16"/>
          <w:szCs w:val="16"/>
        </w:rPr>
        <w:lastRenderedPageBreak/>
        <w:t>(</w:t>
      </w:r>
      <w:proofErr w:type="gramEnd"/>
      <w:r>
        <w:rPr>
          <w:b/>
          <w:color w:val="231F20"/>
          <w:sz w:val="16"/>
          <w:szCs w:val="16"/>
        </w:rPr>
        <w:t xml:space="preserve">n = 18) </w:t>
      </w:r>
    </w:p>
    <w:p w14:paraId="00000052" w14:textId="77777777" w:rsidR="005534B5" w:rsidRDefault="006C3692">
      <w:pPr>
        <w:widowControl w:val="0"/>
        <w:pBdr>
          <w:top w:val="nil"/>
          <w:left w:val="nil"/>
          <w:bottom w:val="nil"/>
          <w:right w:val="nil"/>
          <w:between w:val="nil"/>
        </w:pBdr>
        <w:spacing w:line="213" w:lineRule="auto"/>
        <w:rPr>
          <w:b/>
          <w:color w:val="231F20"/>
          <w:sz w:val="16"/>
          <w:szCs w:val="16"/>
        </w:rPr>
      </w:pPr>
      <w:r>
        <w:rPr>
          <w:b/>
          <w:color w:val="231F20"/>
          <w:sz w:val="16"/>
          <w:szCs w:val="16"/>
        </w:rPr>
        <w:t>ЛГ-</w:t>
      </w:r>
      <w:proofErr w:type="gramStart"/>
      <w:r>
        <w:rPr>
          <w:b/>
          <w:color w:val="231F20"/>
          <w:sz w:val="16"/>
          <w:szCs w:val="16"/>
        </w:rPr>
        <w:t>ВВС  (</w:t>
      </w:r>
      <w:proofErr w:type="gramEnd"/>
      <w:r>
        <w:rPr>
          <w:b/>
          <w:color w:val="231F20"/>
          <w:sz w:val="16"/>
          <w:szCs w:val="16"/>
        </w:rPr>
        <w:t xml:space="preserve">n = 15) </w:t>
      </w:r>
    </w:p>
    <w:p w14:paraId="00000053" w14:textId="77777777" w:rsidR="005534B5" w:rsidRDefault="006C3692">
      <w:pPr>
        <w:widowControl w:val="0"/>
        <w:pBdr>
          <w:top w:val="nil"/>
          <w:left w:val="nil"/>
          <w:bottom w:val="nil"/>
          <w:right w:val="nil"/>
          <w:between w:val="nil"/>
        </w:pBdr>
        <w:spacing w:line="213" w:lineRule="auto"/>
        <w:rPr>
          <w:b/>
          <w:color w:val="231F20"/>
          <w:sz w:val="16"/>
          <w:szCs w:val="16"/>
        </w:rPr>
      </w:pPr>
      <w:proofErr w:type="gramStart"/>
      <w:r>
        <w:rPr>
          <w:b/>
          <w:color w:val="231F20"/>
          <w:sz w:val="16"/>
          <w:szCs w:val="16"/>
        </w:rPr>
        <w:lastRenderedPageBreak/>
        <w:t>ХТЕЛГ  (</w:t>
      </w:r>
      <w:proofErr w:type="gramEnd"/>
      <w:r>
        <w:rPr>
          <w:b/>
          <w:color w:val="231F20"/>
          <w:sz w:val="16"/>
          <w:szCs w:val="16"/>
        </w:rPr>
        <w:t xml:space="preserve">n = 21) </w:t>
      </w:r>
    </w:p>
    <w:p w14:paraId="00000054" w14:textId="77777777" w:rsidR="005534B5" w:rsidRDefault="006C3692">
      <w:pPr>
        <w:widowControl w:val="0"/>
        <w:pBdr>
          <w:top w:val="nil"/>
          <w:left w:val="nil"/>
          <w:bottom w:val="nil"/>
          <w:right w:val="nil"/>
          <w:between w:val="nil"/>
        </w:pBdr>
        <w:spacing w:line="213" w:lineRule="auto"/>
        <w:rPr>
          <w:b/>
          <w:color w:val="231F20"/>
          <w:sz w:val="16"/>
          <w:szCs w:val="16"/>
        </w:rPr>
        <w:sectPr w:rsidR="005534B5">
          <w:type w:val="continuous"/>
          <w:pgSz w:w="12180" w:h="16440"/>
          <w:pgMar w:top="1170" w:right="1791" w:bottom="1145" w:left="1485" w:header="0" w:footer="720" w:gutter="0"/>
          <w:cols w:num="4" w:space="720" w:equalWidth="0">
            <w:col w:w="2240" w:space="0"/>
            <w:col w:w="2240" w:space="0"/>
            <w:col w:w="2240" w:space="0"/>
            <w:col w:w="2240" w:space="0"/>
          </w:cols>
        </w:sectPr>
      </w:pPr>
      <w:r>
        <w:rPr>
          <w:b/>
          <w:color w:val="231F20"/>
          <w:sz w:val="16"/>
          <w:szCs w:val="16"/>
        </w:rPr>
        <w:t xml:space="preserve">Контрольна  група (n = 20) </w:t>
      </w:r>
    </w:p>
    <w:p w14:paraId="00000055" w14:textId="77777777" w:rsidR="005534B5" w:rsidRDefault="006C3692">
      <w:pPr>
        <w:widowControl w:val="0"/>
        <w:pBdr>
          <w:top w:val="nil"/>
          <w:left w:val="nil"/>
          <w:bottom w:val="nil"/>
          <w:right w:val="nil"/>
          <w:between w:val="nil"/>
        </w:pBdr>
        <w:spacing w:before="39" w:line="285" w:lineRule="auto"/>
        <w:ind w:left="693" w:right="1103" w:firstLine="6"/>
        <w:rPr>
          <w:color w:val="231F20"/>
          <w:sz w:val="16"/>
          <w:szCs w:val="16"/>
        </w:rPr>
        <w:sectPr w:rsidR="005534B5">
          <w:type w:val="continuous"/>
          <w:pgSz w:w="12180" w:h="16440"/>
          <w:pgMar w:top="1170" w:right="756" w:bottom="1145" w:left="790" w:header="0" w:footer="720" w:gutter="0"/>
          <w:cols w:space="720" w:equalWidth="0">
            <w:col w:w="10633" w:space="0"/>
          </w:cols>
        </w:sectPr>
      </w:pPr>
      <w:r>
        <w:rPr>
          <w:color w:val="231F20"/>
          <w:sz w:val="16"/>
          <w:szCs w:val="16"/>
        </w:rPr>
        <w:lastRenderedPageBreak/>
        <w:t>Вік, роки 47,59 ± 1,61 42,39 ± 2,43</w:t>
      </w:r>
      <w:r>
        <w:rPr>
          <w:color w:val="231F20"/>
          <w:sz w:val="18"/>
          <w:szCs w:val="18"/>
          <w:vertAlign w:val="superscript"/>
        </w:rPr>
        <w:t xml:space="preserve">$ </w:t>
      </w:r>
      <w:r>
        <w:rPr>
          <w:color w:val="231F20"/>
          <w:sz w:val="16"/>
          <w:szCs w:val="16"/>
        </w:rPr>
        <w:t>49,73 ± 3,15 50,52 ± 2,56 48,50 ± 3,31 Зріст, см 167,91 ± 0,90 166,94 ± 1,34 168,47 ± 1,71 168,33 ± 1,62 166,30 ± 1,58 Маса тіла, кг 77,72 ± 2,45 77,17 ± 4,88 75,13 ± 4,52 80,05 ± 3,59 78,60 ± 3,11 ІМТ, кг/м</w:t>
      </w:r>
      <w:r>
        <w:rPr>
          <w:color w:val="231F20"/>
          <w:sz w:val="18"/>
          <w:szCs w:val="18"/>
          <w:vertAlign w:val="superscript"/>
        </w:rPr>
        <w:t xml:space="preserve">2 </w:t>
      </w:r>
      <w:r>
        <w:rPr>
          <w:color w:val="231F20"/>
          <w:sz w:val="16"/>
          <w:szCs w:val="16"/>
        </w:rPr>
        <w:t xml:space="preserve">27,53 ± 0,84 27,58 ± 1,60 26,46 ± 1,60 28,26 ± </w:t>
      </w:r>
      <w:r>
        <w:rPr>
          <w:color w:val="231F20"/>
          <w:sz w:val="16"/>
          <w:szCs w:val="16"/>
        </w:rPr>
        <w:t xml:space="preserve">1,24 28,33 ± 0,99 </w:t>
      </w:r>
    </w:p>
    <w:p w14:paraId="00000056" w14:textId="77777777" w:rsidR="005534B5" w:rsidRDefault="006C3692">
      <w:pPr>
        <w:widowControl w:val="0"/>
        <w:pBdr>
          <w:top w:val="nil"/>
          <w:left w:val="nil"/>
          <w:bottom w:val="nil"/>
          <w:right w:val="nil"/>
          <w:between w:val="nil"/>
        </w:pBdr>
        <w:spacing w:before="31" w:line="213" w:lineRule="auto"/>
        <w:rPr>
          <w:color w:val="231F20"/>
          <w:sz w:val="16"/>
          <w:szCs w:val="16"/>
        </w:rPr>
      </w:pPr>
      <w:r>
        <w:rPr>
          <w:color w:val="231F20"/>
          <w:sz w:val="16"/>
          <w:szCs w:val="16"/>
        </w:rPr>
        <w:lastRenderedPageBreak/>
        <w:t>Жінки/</w:t>
      </w:r>
      <w:proofErr w:type="gramStart"/>
      <w:r>
        <w:rPr>
          <w:color w:val="231F20"/>
          <w:sz w:val="16"/>
          <w:szCs w:val="16"/>
        </w:rPr>
        <w:t>чоловіки,  n</w:t>
      </w:r>
      <w:proofErr w:type="gramEnd"/>
      <w:r>
        <w:rPr>
          <w:color w:val="231F20"/>
          <w:sz w:val="16"/>
          <w:szCs w:val="16"/>
        </w:rPr>
        <w:t xml:space="preserve"> (%) </w:t>
      </w:r>
    </w:p>
    <w:p w14:paraId="00000057" w14:textId="77777777" w:rsidR="005534B5" w:rsidRDefault="006C3692">
      <w:pPr>
        <w:widowControl w:val="0"/>
        <w:pBdr>
          <w:top w:val="nil"/>
          <w:left w:val="nil"/>
          <w:bottom w:val="nil"/>
          <w:right w:val="nil"/>
          <w:between w:val="nil"/>
        </w:pBdr>
        <w:spacing w:line="240" w:lineRule="auto"/>
        <w:rPr>
          <w:color w:val="231F20"/>
          <w:sz w:val="16"/>
          <w:szCs w:val="16"/>
        </w:rPr>
        <w:sectPr w:rsidR="005534B5">
          <w:type w:val="continuous"/>
          <w:pgSz w:w="12180" w:h="16440"/>
          <w:pgMar w:top="1170" w:right="1831" w:bottom="1145" w:left="1477" w:header="0" w:footer="720" w:gutter="0"/>
          <w:cols w:num="2" w:space="720" w:equalWidth="0">
            <w:col w:w="4440" w:space="0"/>
            <w:col w:w="4440" w:space="0"/>
          </w:cols>
        </w:sectPr>
      </w:pPr>
      <w:r>
        <w:rPr>
          <w:color w:val="231F20"/>
          <w:sz w:val="16"/>
          <w:szCs w:val="16"/>
        </w:rPr>
        <w:t xml:space="preserve">38 (70,4) / 16 (29,6) 13 (72,2) / 5 (27,8) 10 (66,7) / 5 (33,3) 15 </w:t>
      </w:r>
      <w:r>
        <w:rPr>
          <w:color w:val="231F20"/>
          <w:sz w:val="16"/>
          <w:szCs w:val="16"/>
        </w:rPr>
        <w:lastRenderedPageBreak/>
        <w:t xml:space="preserve">(71,4) / 6 (28,6) 14 (70) / 6 (30) </w:t>
      </w:r>
    </w:p>
    <w:p w14:paraId="00000058" w14:textId="77777777" w:rsidR="005534B5" w:rsidRDefault="006C3692">
      <w:pPr>
        <w:widowControl w:val="0"/>
        <w:pBdr>
          <w:top w:val="nil"/>
          <w:left w:val="nil"/>
          <w:bottom w:val="nil"/>
          <w:right w:val="nil"/>
          <w:between w:val="nil"/>
        </w:pBdr>
        <w:spacing w:before="211" w:line="281" w:lineRule="auto"/>
        <w:ind w:left="693" w:right="1104" w:hanging="6"/>
        <w:jc w:val="both"/>
        <w:rPr>
          <w:color w:val="231F20"/>
          <w:sz w:val="16"/>
          <w:szCs w:val="16"/>
        </w:rPr>
      </w:pPr>
      <w:r>
        <w:rPr>
          <w:color w:val="231F20"/>
          <w:sz w:val="16"/>
          <w:szCs w:val="16"/>
        </w:rPr>
        <w:lastRenderedPageBreak/>
        <w:t>ЖЄЛ, % 80,78 ± 2,24</w:t>
      </w:r>
      <w:r>
        <w:rPr>
          <w:color w:val="231F20"/>
          <w:sz w:val="18"/>
          <w:szCs w:val="18"/>
          <w:vertAlign w:val="superscript"/>
        </w:rPr>
        <w:t xml:space="preserve">** </w:t>
      </w:r>
      <w:r>
        <w:rPr>
          <w:color w:val="231F20"/>
          <w:sz w:val="16"/>
          <w:szCs w:val="16"/>
        </w:rPr>
        <w:t>84,50 ± 3,87**^ 72,47 ± 4,17**</w:t>
      </w:r>
      <w:r>
        <w:rPr>
          <w:color w:val="231F20"/>
          <w:sz w:val="18"/>
          <w:szCs w:val="18"/>
          <w:vertAlign w:val="superscript"/>
        </w:rPr>
        <w:t xml:space="preserve">$ </w:t>
      </w:r>
      <w:r>
        <w:rPr>
          <w:color w:val="231F20"/>
          <w:sz w:val="16"/>
          <w:szCs w:val="16"/>
        </w:rPr>
        <w:t>83,52 ± 3,35**^ 108,20 ± 3,70 ФЖЄЛ, % 77,02 ± 2,32** 80,56 ± 4,00** 70,40 ± 4,59** 78,71 ± 3,52** 102,45 ± 2,67 ОФВ1, % 76,63 ± 2,45** 80,17 ± 3,63**^ 65,67 ± 4,51**</w:t>
      </w:r>
      <w:r>
        <w:rPr>
          <w:color w:val="231F20"/>
          <w:sz w:val="18"/>
          <w:szCs w:val="18"/>
          <w:vertAlign w:val="superscript"/>
        </w:rPr>
        <w:t xml:space="preserve">$ </w:t>
      </w:r>
      <w:r>
        <w:rPr>
          <w:color w:val="231F20"/>
          <w:sz w:val="16"/>
          <w:szCs w:val="16"/>
        </w:rPr>
        <w:t>81,43 ± 3,89**^ 106,90 ± 3,53 ОФВ1/ФЖЄЛ, % 105,11 ± 1,43 105,22 ± 2,17 99,53 ± 2,75*</w:t>
      </w:r>
      <w:r>
        <w:rPr>
          <w:color w:val="231F20"/>
          <w:sz w:val="18"/>
          <w:szCs w:val="18"/>
          <w:vertAlign w:val="superscript"/>
        </w:rPr>
        <w:t xml:space="preserve">$ </w:t>
      </w:r>
      <w:r>
        <w:rPr>
          <w:color w:val="231F20"/>
          <w:sz w:val="16"/>
          <w:szCs w:val="16"/>
        </w:rPr>
        <w:t>109</w:t>
      </w:r>
      <w:r>
        <w:rPr>
          <w:color w:val="231F20"/>
          <w:sz w:val="16"/>
          <w:szCs w:val="16"/>
        </w:rPr>
        <w:t xml:space="preserve">,00 ± 2,18^ 109,85 ± 1,80 ОФВ1/ЖЄЛ, % 99,24 ± 1,24* 100,11 ± 2,35 95,53 ± 2,46* 101,14 ± 1,65 104,65 ± 1,49 ПШВ, % 63,83 ± 2,57** 65,50 ± 4,71* 58,07 ± 3,32** 66,52 ± </w:t>
      </w:r>
      <w:r>
        <w:rPr>
          <w:color w:val="231F20"/>
          <w:sz w:val="16"/>
          <w:szCs w:val="16"/>
        </w:rPr>
        <w:lastRenderedPageBreak/>
        <w:t>4,64* 88,35 ± 5,43 МОШ75, % 61,56 ± 2,98** 64,06 ± 5,28* 55,40 ± 4,15** 63,81 ± 5,47* 90,</w:t>
      </w:r>
      <w:r>
        <w:rPr>
          <w:color w:val="231F20"/>
          <w:sz w:val="16"/>
          <w:szCs w:val="16"/>
        </w:rPr>
        <w:t xml:space="preserve">45 ± 5,43 </w:t>
      </w:r>
    </w:p>
    <w:p w14:paraId="00000059" w14:textId="77777777" w:rsidR="005534B5" w:rsidRDefault="006C3692">
      <w:pPr>
        <w:widowControl w:val="0"/>
        <w:pBdr>
          <w:top w:val="nil"/>
          <w:left w:val="nil"/>
          <w:bottom w:val="nil"/>
          <w:right w:val="nil"/>
          <w:between w:val="nil"/>
        </w:pBdr>
        <w:spacing w:line="264" w:lineRule="auto"/>
        <w:ind w:left="686" w:right="1107" w:firstLine="13"/>
        <w:jc w:val="both"/>
        <w:rPr>
          <w:color w:val="231F20"/>
          <w:sz w:val="16"/>
          <w:szCs w:val="16"/>
        </w:rPr>
      </w:pPr>
      <w:r>
        <w:rPr>
          <w:color w:val="231F20"/>
          <w:sz w:val="16"/>
          <w:szCs w:val="16"/>
        </w:rPr>
        <w:t>МОШ50, % 69,89 ± 3,67** 78,50 ± 6,21*^ 51,20 ± 6,20**</w:t>
      </w:r>
      <w:r>
        <w:rPr>
          <w:color w:val="231F20"/>
          <w:sz w:val="18"/>
          <w:szCs w:val="18"/>
          <w:vertAlign w:val="superscript"/>
        </w:rPr>
        <w:t xml:space="preserve">$ </w:t>
      </w:r>
      <w:r>
        <w:rPr>
          <w:color w:val="231F20"/>
          <w:sz w:val="16"/>
          <w:szCs w:val="16"/>
        </w:rPr>
        <w:t>75,86 ± 5,20*^ 101,60 ± 6,93 МОШ25, % 67,87 ± 4,12** 72,20 ± 6,13* 53,73 ± 6,83**</w:t>
      </w:r>
      <w:r>
        <w:rPr>
          <w:color w:val="231F20"/>
          <w:sz w:val="18"/>
          <w:szCs w:val="18"/>
          <w:vertAlign w:val="superscript"/>
        </w:rPr>
        <w:t xml:space="preserve">$ </w:t>
      </w:r>
      <w:r>
        <w:rPr>
          <w:color w:val="231F20"/>
          <w:sz w:val="16"/>
          <w:szCs w:val="16"/>
        </w:rPr>
        <w:t>76,53 ± 7,31*^ 100,76 ± 6,15 ДЗМВ, % 57,93 ± 2,45** 59,56 ± 3,41** 60,80 ± 6,33** 54,48 ± 3,38** 89,25 ± 2,</w:t>
      </w:r>
      <w:r>
        <w:rPr>
          <w:color w:val="231F20"/>
          <w:sz w:val="16"/>
          <w:szCs w:val="16"/>
        </w:rPr>
        <w:t xml:space="preserve">87 </w:t>
      </w:r>
    </w:p>
    <w:p w14:paraId="0000005A" w14:textId="77777777" w:rsidR="005534B5" w:rsidRDefault="006C3692">
      <w:pPr>
        <w:widowControl w:val="0"/>
        <w:pBdr>
          <w:top w:val="nil"/>
          <w:left w:val="nil"/>
          <w:bottom w:val="nil"/>
          <w:right w:val="nil"/>
          <w:between w:val="nil"/>
        </w:pBdr>
        <w:spacing w:before="106" w:line="222" w:lineRule="auto"/>
        <w:ind w:left="601" w:right="875" w:firstLine="11"/>
        <w:jc w:val="both"/>
        <w:rPr>
          <w:color w:val="231F20"/>
          <w:sz w:val="14"/>
          <w:szCs w:val="14"/>
        </w:rPr>
        <w:sectPr w:rsidR="005534B5">
          <w:type w:val="continuous"/>
          <w:pgSz w:w="12180" w:h="16440"/>
          <w:pgMar w:top="1170" w:right="756" w:bottom="1145" w:left="790" w:header="0" w:footer="720" w:gutter="0"/>
          <w:cols w:space="720" w:equalWidth="0">
            <w:col w:w="10633" w:space="0"/>
          </w:cols>
        </w:sectPr>
      </w:pPr>
      <w:r>
        <w:rPr>
          <w:color w:val="231F20"/>
          <w:sz w:val="14"/>
          <w:szCs w:val="14"/>
        </w:rPr>
        <w:t>M – середнє значення показника у вказаній групі; СКП – середньоквадратична похибка; * – p&lt;0,05 порівняно з цим показником контр ольної групи; ** – p&lt;0,001 порівняно з цим показником контрольної групи; ^ – p&lt;0,05 порівняно з ідентичним показником групи ЛГ-</w:t>
      </w:r>
      <w:proofErr w:type="gramStart"/>
      <w:r>
        <w:rPr>
          <w:color w:val="231F20"/>
          <w:sz w:val="14"/>
          <w:szCs w:val="14"/>
        </w:rPr>
        <w:t>В</w:t>
      </w:r>
      <w:r>
        <w:rPr>
          <w:color w:val="231F20"/>
          <w:sz w:val="14"/>
          <w:szCs w:val="14"/>
        </w:rPr>
        <w:t>ВС;  ^</w:t>
      </w:r>
      <w:proofErr w:type="gramEnd"/>
      <w:r>
        <w:rPr>
          <w:color w:val="231F20"/>
          <w:sz w:val="14"/>
          <w:szCs w:val="14"/>
        </w:rPr>
        <w:t xml:space="preserve">^ – p&lt;0,001 порівняно з ідентичним показником групи ЛГ-ВВС; </w:t>
      </w:r>
      <w:r>
        <w:rPr>
          <w:color w:val="231F20"/>
          <w:sz w:val="16"/>
          <w:szCs w:val="16"/>
          <w:vertAlign w:val="superscript"/>
        </w:rPr>
        <w:t>$</w:t>
      </w:r>
      <w:r>
        <w:rPr>
          <w:color w:val="231F20"/>
          <w:sz w:val="9"/>
          <w:szCs w:val="9"/>
        </w:rPr>
        <w:t xml:space="preserve"> </w:t>
      </w:r>
      <w:r>
        <w:rPr>
          <w:color w:val="231F20"/>
          <w:sz w:val="14"/>
          <w:szCs w:val="14"/>
        </w:rPr>
        <w:t xml:space="preserve">– p&lt;0,05 порівняно з ідентичним показником групи ХТЕЛГ; </w:t>
      </w:r>
      <w:r>
        <w:rPr>
          <w:color w:val="231F20"/>
          <w:sz w:val="16"/>
          <w:szCs w:val="16"/>
          <w:vertAlign w:val="superscript"/>
        </w:rPr>
        <w:t>$$</w:t>
      </w:r>
      <w:r>
        <w:rPr>
          <w:color w:val="231F20"/>
          <w:sz w:val="9"/>
          <w:szCs w:val="9"/>
        </w:rPr>
        <w:t xml:space="preserve"> </w:t>
      </w:r>
      <w:r>
        <w:rPr>
          <w:color w:val="231F20"/>
          <w:sz w:val="14"/>
          <w:szCs w:val="14"/>
        </w:rPr>
        <w:t>– p&lt;0,001  порівняно з ідентичним показником групи ХТЕЛГ. ЛГ – легенева гіпертензія; ІЛАГ – ідіопатична легенева артеріальна гіпертензія;  ЛГ-ВВС – легенева гіпертензія, асоційована із вродженою вадою серця; ХТЕЛГ – хронічна тромбоемболічна легенева гіперт</w:t>
      </w:r>
      <w:r>
        <w:rPr>
          <w:color w:val="231F20"/>
          <w:sz w:val="14"/>
          <w:szCs w:val="14"/>
        </w:rPr>
        <w:t>ензія; ІМТ –  індекс маси тіла; ЖЄЛ – життєва ємність легень; ФЖЄЛ – форсована життєва ємність легень; ОФВ1 – об’єм форсованого видиху за  1 секунду; ПШВ – пікова швидкість видиху; МОШ – максимальна об’ємна швидкість видиху; 75, 25, 50 – відсоток ФЖЄЛ, яка</w:t>
      </w:r>
      <w:r>
        <w:rPr>
          <w:color w:val="231F20"/>
          <w:sz w:val="14"/>
          <w:szCs w:val="14"/>
        </w:rPr>
        <w:t xml:space="preserve"> залишається  в легенях на момент вимірювання; ДЗМВ – дифузійна здатність за монооксидом вуглецю.</w:t>
      </w:r>
    </w:p>
    <w:p w14:paraId="0000005B" w14:textId="77777777" w:rsidR="005534B5" w:rsidRDefault="006C3692">
      <w:pPr>
        <w:widowControl w:val="0"/>
        <w:pBdr>
          <w:top w:val="nil"/>
          <w:left w:val="nil"/>
          <w:bottom w:val="nil"/>
          <w:right w:val="nil"/>
          <w:between w:val="nil"/>
        </w:pBdr>
        <w:spacing w:before="563" w:line="239" w:lineRule="auto"/>
        <w:ind w:left="4" w:right="138" w:firstLine="1"/>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 xml:space="preserve">повідно ХТЕЛГ та ІЛАГ, ОФВ1 – на 15,8 і 14,5 </w:t>
      </w:r>
      <w:proofErr w:type="gramStart"/>
      <w:r>
        <w:rPr>
          <w:rFonts w:ascii="Source Serif 4" w:eastAsia="Source Serif 4" w:hAnsi="Source Serif 4" w:cs="Source Serif 4"/>
          <w:color w:val="231F20"/>
          <w:sz w:val="20"/>
          <w:szCs w:val="20"/>
        </w:rPr>
        <w:t>%,  ніж</w:t>
      </w:r>
      <w:proofErr w:type="gramEnd"/>
      <w:r>
        <w:rPr>
          <w:rFonts w:ascii="Source Serif 4" w:eastAsia="Source Serif 4" w:hAnsi="Source Serif 4" w:cs="Source Serif 4"/>
          <w:color w:val="231F20"/>
          <w:sz w:val="20"/>
          <w:szCs w:val="20"/>
        </w:rPr>
        <w:t xml:space="preserve"> у групі ХТЕЛГ та ІЛАГ, відношення ОФВ1/ ФЖЄЛ  – на 9,5 %, ніж у групі ХТЕЛГ, МОШ50  –  на 24,7 і 27,3 %, </w:t>
      </w:r>
      <w:r>
        <w:rPr>
          <w:rFonts w:ascii="Source Serif 4" w:eastAsia="Source Serif 4" w:hAnsi="Source Serif 4" w:cs="Source Serif 4"/>
          <w:color w:val="231F20"/>
          <w:sz w:val="20"/>
          <w:szCs w:val="20"/>
        </w:rPr>
        <w:t xml:space="preserve">ніж у групі ХТЕЛГ та ІЛАГ,  </w:t>
      </w:r>
    </w:p>
    <w:p w14:paraId="0000005C" w14:textId="77777777" w:rsidR="005534B5" w:rsidRDefault="006C3692">
      <w:pPr>
        <w:widowControl w:val="0"/>
        <w:pBdr>
          <w:top w:val="nil"/>
          <w:left w:val="nil"/>
          <w:bottom w:val="nil"/>
          <w:right w:val="nil"/>
          <w:between w:val="nil"/>
        </w:pBdr>
        <w:spacing w:before="6" w:line="239" w:lineRule="auto"/>
        <w:ind w:left="1" w:right="138" w:firstLine="2"/>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МОШ25 – на 22,8 %, ніж у групі ХТЕЛГ.  ДЗМВ була найнижчою у хворих із ХТЕЛГ ((54,48 ± 3,38) %), різниця статистично зна чуща порівняно з контрольною групою, але статистично незначуща порівняно з іншими досліджуваними групами Л</w:t>
      </w:r>
      <w:r>
        <w:rPr>
          <w:rFonts w:ascii="Source Serif 4" w:eastAsia="Source Serif 4" w:hAnsi="Source Serif 4" w:cs="Source Serif 4"/>
          <w:color w:val="231F20"/>
          <w:sz w:val="20"/>
          <w:szCs w:val="20"/>
        </w:rPr>
        <w:t xml:space="preserve">Г. Загалом, у всіх групах ЛГ ДЗЛМВ була в середньому </w:t>
      </w:r>
      <w:proofErr w:type="gramStart"/>
      <w:r>
        <w:rPr>
          <w:rFonts w:ascii="Source Serif 4" w:eastAsia="Source Serif 4" w:hAnsi="Source Serif 4" w:cs="Source Serif 4"/>
          <w:color w:val="231F20"/>
          <w:sz w:val="20"/>
          <w:szCs w:val="20"/>
        </w:rPr>
        <w:t>меншою,  ніж</w:t>
      </w:r>
      <w:proofErr w:type="gramEnd"/>
      <w:r>
        <w:rPr>
          <w:rFonts w:ascii="Source Serif 4" w:eastAsia="Source Serif 4" w:hAnsi="Source Serif 4" w:cs="Source Serif 4"/>
          <w:color w:val="231F20"/>
          <w:sz w:val="20"/>
          <w:szCs w:val="20"/>
        </w:rPr>
        <w:t xml:space="preserve"> показник норми (вище ніж 70–80 % за різ ними рекомендаціями [30]). </w:t>
      </w:r>
    </w:p>
    <w:p w14:paraId="0000005D" w14:textId="77777777" w:rsidR="005534B5" w:rsidRDefault="006C3692">
      <w:pPr>
        <w:widowControl w:val="0"/>
        <w:pBdr>
          <w:top w:val="nil"/>
          <w:left w:val="nil"/>
          <w:bottom w:val="nil"/>
          <w:right w:val="nil"/>
          <w:between w:val="nil"/>
        </w:pBdr>
        <w:spacing w:before="6" w:line="239" w:lineRule="auto"/>
        <w:ind w:right="138" w:firstLine="288"/>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Кореляційний аналіз за Спірменом був проведений між основними показниками ФЗД, ДЗЛМВ та всіма показниками клініко лабораторного й інструментального обсте ження пацієнтів із ЛГ </w:t>
      </w:r>
      <w:r>
        <w:rPr>
          <w:rFonts w:ascii="Source Serif 4" w:eastAsia="Source Serif 4" w:hAnsi="Source Serif 4" w:cs="Source Serif 4"/>
          <w:i/>
          <w:color w:val="231F20"/>
          <w:sz w:val="20"/>
          <w:szCs w:val="20"/>
        </w:rPr>
        <w:t>(табл. 2)</w:t>
      </w:r>
      <w:r>
        <w:rPr>
          <w:rFonts w:ascii="Source Serif 4" w:eastAsia="Source Serif 4" w:hAnsi="Source Serif 4" w:cs="Source Serif 4"/>
          <w:color w:val="231F20"/>
          <w:sz w:val="20"/>
          <w:szCs w:val="20"/>
        </w:rPr>
        <w:t>. Так, ЖЄЛ мала статистично значущі кореляційні звʼязки з дистанцією, п</w:t>
      </w:r>
      <w:r>
        <w:rPr>
          <w:rFonts w:ascii="Source Serif 4" w:eastAsia="Source Serif 4" w:hAnsi="Source Serif 4" w:cs="Source Serif 4"/>
          <w:color w:val="231F20"/>
          <w:sz w:val="20"/>
          <w:szCs w:val="20"/>
        </w:rPr>
        <w:t xml:space="preserve">ройденою під час 6-ХТ, пло щею ПП, виміряною під час ЕхоКГ, систоліч ним тиском у ПШ, визначеним під час </w:t>
      </w:r>
      <w:proofErr w:type="gramStart"/>
      <w:r>
        <w:rPr>
          <w:rFonts w:ascii="Source Serif 4" w:eastAsia="Source Serif 4" w:hAnsi="Source Serif 4" w:cs="Source Serif 4"/>
          <w:color w:val="231F20"/>
          <w:sz w:val="20"/>
          <w:szCs w:val="20"/>
        </w:rPr>
        <w:t>КПС,  та</w:t>
      </w:r>
      <w:proofErr w:type="gramEnd"/>
      <w:r>
        <w:rPr>
          <w:rFonts w:ascii="Source Serif 4" w:eastAsia="Source Serif 4" w:hAnsi="Source Serif 4" w:cs="Source Serif 4"/>
          <w:color w:val="231F20"/>
          <w:sz w:val="20"/>
          <w:szCs w:val="20"/>
        </w:rPr>
        <w:t xml:space="preserve"> наявністю ВВС. ФЖЄЛ статистично значу що </w:t>
      </w:r>
      <w:r>
        <w:rPr>
          <w:rFonts w:ascii="Source Serif 4" w:eastAsia="Source Serif 4" w:hAnsi="Source Serif 4" w:cs="Source Serif 4"/>
          <w:color w:val="231F20"/>
          <w:sz w:val="20"/>
          <w:szCs w:val="20"/>
        </w:rPr>
        <w:lastRenderedPageBreak/>
        <w:t xml:space="preserve">асоціювалася з дистанцією, пройденою </w:t>
      </w:r>
    </w:p>
    <w:p w14:paraId="0000005E" w14:textId="77777777" w:rsidR="005534B5" w:rsidRDefault="006C3692">
      <w:pPr>
        <w:widowControl w:val="0"/>
        <w:pBdr>
          <w:top w:val="nil"/>
          <w:left w:val="nil"/>
          <w:bottom w:val="nil"/>
          <w:right w:val="nil"/>
          <w:between w:val="nil"/>
        </w:pBdr>
        <w:spacing w:line="239" w:lineRule="auto"/>
        <w:ind w:left="104" w:right="36" w:firstLine="1"/>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під час 6-ХТ, площею ПП, виміряною під час ЕхоКГ, систолічним т</w:t>
      </w:r>
      <w:r>
        <w:rPr>
          <w:rFonts w:ascii="Source Serif 4" w:eastAsia="Source Serif 4" w:hAnsi="Source Serif 4" w:cs="Source Serif 4"/>
          <w:color w:val="231F20"/>
          <w:sz w:val="20"/>
          <w:szCs w:val="20"/>
        </w:rPr>
        <w:t xml:space="preserve">а середнім тиском у </w:t>
      </w:r>
      <w:proofErr w:type="gramStart"/>
      <w:r>
        <w:rPr>
          <w:rFonts w:ascii="Source Serif 4" w:eastAsia="Source Serif 4" w:hAnsi="Source Serif 4" w:cs="Source Serif 4"/>
          <w:color w:val="231F20"/>
          <w:sz w:val="20"/>
          <w:szCs w:val="20"/>
        </w:rPr>
        <w:t>ПШ,  визначеними</w:t>
      </w:r>
      <w:proofErr w:type="gramEnd"/>
      <w:r>
        <w:rPr>
          <w:rFonts w:ascii="Source Serif 4" w:eastAsia="Source Serif 4" w:hAnsi="Source Serif 4" w:cs="Source Serif 4"/>
          <w:color w:val="231F20"/>
          <w:sz w:val="20"/>
          <w:szCs w:val="20"/>
        </w:rPr>
        <w:t xml:space="preserve"> під час КПС. ОФВ1 статистично значущо корелював із чоловічою статтю, сис толічним та середнім тиском у ПШ, визначе ним під час КПС та наявністю ВВС. При мен шій ДЗМВ статистично значущо меншими були дистанція, пройдена </w:t>
      </w:r>
      <w:r>
        <w:rPr>
          <w:rFonts w:ascii="Source Serif 4" w:eastAsia="Source Serif 4" w:hAnsi="Source Serif 4" w:cs="Source Serif 4"/>
          <w:color w:val="231F20"/>
          <w:sz w:val="20"/>
          <w:szCs w:val="20"/>
        </w:rPr>
        <w:t xml:space="preserve">під час тесту 6-ХТ,  </w:t>
      </w:r>
    </w:p>
    <w:p w14:paraId="0000005F" w14:textId="77777777" w:rsidR="005534B5" w:rsidRDefault="006C3692">
      <w:pPr>
        <w:widowControl w:val="0"/>
        <w:pBdr>
          <w:top w:val="nil"/>
          <w:left w:val="nil"/>
          <w:bottom w:val="nil"/>
          <w:right w:val="nil"/>
          <w:between w:val="nil"/>
        </w:pBdr>
        <w:spacing w:before="6" w:line="204" w:lineRule="auto"/>
        <w:ind w:left="106" w:right="93" w:hanging="1"/>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та SaО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20"/>
          <w:szCs w:val="20"/>
        </w:rPr>
        <w:t xml:space="preserve">і статистично значущо більшими були вік та ЗЛО.  </w:t>
      </w:r>
    </w:p>
    <w:p w14:paraId="00000060" w14:textId="77777777" w:rsidR="005534B5" w:rsidRDefault="006C3692">
      <w:pPr>
        <w:widowControl w:val="0"/>
        <w:pBdr>
          <w:top w:val="nil"/>
          <w:left w:val="nil"/>
          <w:bottom w:val="nil"/>
          <w:right w:val="nil"/>
          <w:between w:val="nil"/>
        </w:pBdr>
        <w:spacing w:before="34" w:line="239" w:lineRule="auto"/>
        <w:ind w:left="102" w:right="37" w:firstLine="286"/>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Багатофакторний регресійний аналіз про демонстрував, що незалежні статистично зна чущі кореляції були лише між ЖЄЛ (р = 0,040</w:t>
      </w:r>
      <w:proofErr w:type="gramStart"/>
      <w:r>
        <w:rPr>
          <w:rFonts w:ascii="Source Serif 4" w:eastAsia="Source Serif 4" w:hAnsi="Source Serif 4" w:cs="Source Serif 4"/>
          <w:color w:val="231F20"/>
          <w:sz w:val="20"/>
          <w:szCs w:val="20"/>
        </w:rPr>
        <w:t>)  і</w:t>
      </w:r>
      <w:proofErr w:type="gramEnd"/>
      <w:r>
        <w:rPr>
          <w:rFonts w:ascii="Source Serif 4" w:eastAsia="Source Serif 4" w:hAnsi="Source Serif 4" w:cs="Source Serif 4"/>
          <w:color w:val="231F20"/>
          <w:sz w:val="20"/>
          <w:szCs w:val="20"/>
        </w:rPr>
        <w:t xml:space="preserve"> ФЖЄЛ (р = 0,010) та площею ПП, між ОФВ1 та наявністю ВВС (p = 0,001).  </w:t>
      </w:r>
    </w:p>
    <w:p w14:paraId="00000061" w14:textId="77777777" w:rsidR="005534B5" w:rsidRDefault="006C3692">
      <w:pPr>
        <w:widowControl w:val="0"/>
        <w:pBdr>
          <w:top w:val="nil"/>
          <w:left w:val="nil"/>
          <w:bottom w:val="nil"/>
          <w:right w:val="nil"/>
          <w:between w:val="nil"/>
        </w:pBdr>
        <w:spacing w:before="6" w:line="239" w:lineRule="auto"/>
        <w:ind w:left="100" w:right="37" w:firstLine="284"/>
        <w:jc w:val="both"/>
        <w:rPr>
          <w:rFonts w:ascii="Source Serif 4" w:eastAsia="Source Serif 4" w:hAnsi="Source Serif 4" w:cs="Source Serif 4"/>
          <w:color w:val="231F20"/>
          <w:sz w:val="20"/>
          <w:szCs w:val="20"/>
        </w:rPr>
        <w:sectPr w:rsidR="005534B5">
          <w:type w:val="continuous"/>
          <w:pgSz w:w="12180" w:h="16440"/>
          <w:pgMar w:top="1170" w:right="1359" w:bottom="1145" w:left="1136" w:header="0" w:footer="720" w:gutter="0"/>
          <w:cols w:num="2" w:space="720" w:equalWidth="0">
            <w:col w:w="4860" w:space="0"/>
            <w:col w:w="4860" w:space="0"/>
          </w:cols>
        </w:sectPr>
      </w:pPr>
      <w:r>
        <w:rPr>
          <w:rFonts w:ascii="Source Serif 4" w:eastAsia="Source Serif 4" w:hAnsi="Source Serif 4" w:cs="Source Serif 4"/>
          <w:color w:val="231F20"/>
          <w:sz w:val="20"/>
          <w:szCs w:val="20"/>
        </w:rPr>
        <w:t>ДЗЛМВ не мала статистичн</w:t>
      </w:r>
      <w:r>
        <w:rPr>
          <w:rFonts w:ascii="Source Serif 4" w:eastAsia="Source Serif 4" w:hAnsi="Source Serif 4" w:cs="Source Serif 4"/>
          <w:color w:val="231F20"/>
          <w:sz w:val="20"/>
          <w:szCs w:val="20"/>
        </w:rPr>
        <w:t>о значущих незалежних кореляцій при багатофакторно му регресійному аналізі. Тому ми виріши ли провести логістичний регресійний ана ліз для визначення предикторів зниженого ДЗЛМВ. Для цього за допомогою гістограми було визначено величину ДЗЛМВ, яка відпо ві</w:t>
      </w:r>
      <w:r>
        <w:rPr>
          <w:rFonts w:ascii="Source Serif 4" w:eastAsia="Source Serif 4" w:hAnsi="Source Serif 4" w:cs="Source Serif 4"/>
          <w:color w:val="231F20"/>
          <w:sz w:val="20"/>
          <w:szCs w:val="20"/>
        </w:rPr>
        <w:t xml:space="preserve">дала 50 % процентилю. Вона становила 64 %.  Відповідно всі пацієнти з ЛГ за рівнем ДЗЛМВ </w:t>
      </w:r>
    </w:p>
    <w:p w14:paraId="00000062" w14:textId="77777777" w:rsidR="005534B5" w:rsidRDefault="006C3692">
      <w:pPr>
        <w:widowControl w:val="0"/>
        <w:pBdr>
          <w:top w:val="nil"/>
          <w:left w:val="nil"/>
          <w:bottom w:val="nil"/>
          <w:right w:val="nil"/>
          <w:between w:val="nil"/>
        </w:pBdr>
        <w:spacing w:line="497" w:lineRule="auto"/>
        <w:ind w:right="379" w:firstLine="644"/>
        <w:rPr>
          <w:color w:val="FFFFFF"/>
          <w:sz w:val="18"/>
          <w:szCs w:val="18"/>
        </w:rPr>
      </w:pPr>
      <w:r>
        <w:rPr>
          <w:color w:val="231F20"/>
        </w:rPr>
        <w:lastRenderedPageBreak/>
        <w:t xml:space="preserve">58 </w:t>
      </w:r>
      <w:r>
        <w:rPr>
          <w:color w:val="005769"/>
          <w:sz w:val="23"/>
          <w:szCs w:val="23"/>
          <w:vertAlign w:val="superscript"/>
        </w:rPr>
        <w:t>Кардіохірургія та інтервенційна кардіологія. 2024; Том 13, № 3 С.О. Прогонов та співавт.</w:t>
      </w:r>
      <w:r>
        <w:rPr>
          <w:color w:val="005769"/>
          <w:sz w:val="14"/>
          <w:szCs w:val="14"/>
        </w:rPr>
        <w:t xml:space="preserve"> </w:t>
      </w:r>
      <w:r>
        <w:rPr>
          <w:color w:val="FFFFFF"/>
          <w:sz w:val="30"/>
          <w:szCs w:val="30"/>
          <w:vertAlign w:val="subscript"/>
        </w:rPr>
        <w:t>ОРИГІНАЛЬНІ</w:t>
      </w:r>
      <w:r>
        <w:rPr>
          <w:color w:val="FFFFFF"/>
          <w:sz w:val="18"/>
          <w:szCs w:val="18"/>
        </w:rPr>
        <w:t xml:space="preserve">  </w:t>
      </w:r>
    </w:p>
    <w:p w14:paraId="00000063" w14:textId="77777777" w:rsidR="005534B5" w:rsidRDefault="006C3692">
      <w:pPr>
        <w:widowControl w:val="0"/>
        <w:pBdr>
          <w:top w:val="nil"/>
          <w:left w:val="nil"/>
          <w:bottom w:val="nil"/>
          <w:right w:val="nil"/>
          <w:between w:val="nil"/>
        </w:pBdr>
        <w:spacing w:line="240" w:lineRule="auto"/>
        <w:ind w:left="215"/>
        <w:rPr>
          <w:color w:val="C0262D"/>
          <w:sz w:val="16"/>
          <w:szCs w:val="16"/>
        </w:rPr>
      </w:pPr>
      <w:r>
        <w:rPr>
          <w:color w:val="FFFFFF"/>
          <w:sz w:val="30"/>
          <w:szCs w:val="30"/>
          <w:vertAlign w:val="subscript"/>
        </w:rPr>
        <w:t>ДОСЛІДЖЕНН</w:t>
      </w:r>
      <w:r>
        <w:rPr>
          <w:color w:val="FFFFFF"/>
          <w:sz w:val="18"/>
          <w:szCs w:val="18"/>
        </w:rPr>
        <w:t>Я</w:t>
      </w:r>
      <w:r>
        <w:rPr>
          <w:color w:val="C0262D"/>
          <w:sz w:val="26"/>
          <w:szCs w:val="26"/>
          <w:vertAlign w:val="subscript"/>
        </w:rPr>
        <w:t>Таблиця 2</w:t>
      </w:r>
      <w:r>
        <w:rPr>
          <w:color w:val="C0262D"/>
          <w:sz w:val="16"/>
          <w:szCs w:val="16"/>
        </w:rPr>
        <w:t xml:space="preserve"> </w:t>
      </w:r>
    </w:p>
    <w:p w14:paraId="00000064" w14:textId="77777777" w:rsidR="005534B5" w:rsidRDefault="006C3692">
      <w:pPr>
        <w:widowControl w:val="0"/>
        <w:pBdr>
          <w:top w:val="nil"/>
          <w:left w:val="nil"/>
          <w:bottom w:val="nil"/>
          <w:right w:val="nil"/>
          <w:between w:val="nil"/>
        </w:pBdr>
        <w:spacing w:line="213" w:lineRule="auto"/>
        <w:ind w:left="883" w:right="1020" w:firstLine="10"/>
        <w:rPr>
          <w:b/>
          <w:color w:val="C0262D"/>
          <w:sz w:val="16"/>
          <w:szCs w:val="16"/>
        </w:rPr>
      </w:pPr>
      <w:r>
        <w:rPr>
          <w:b/>
          <w:color w:val="C0262D"/>
          <w:sz w:val="16"/>
          <w:szCs w:val="16"/>
        </w:rPr>
        <w:t xml:space="preserve">Результати кореляційно-регресійного аналізу* основних показників функції зовнішнього дихання </w:t>
      </w:r>
      <w:proofErr w:type="gramStart"/>
      <w:r>
        <w:rPr>
          <w:b/>
          <w:color w:val="C0262D"/>
          <w:sz w:val="16"/>
          <w:szCs w:val="16"/>
        </w:rPr>
        <w:t>та  дифузійної</w:t>
      </w:r>
      <w:proofErr w:type="gramEnd"/>
      <w:r>
        <w:rPr>
          <w:b/>
          <w:color w:val="C0262D"/>
          <w:sz w:val="16"/>
          <w:szCs w:val="16"/>
        </w:rPr>
        <w:t xml:space="preserve"> здатності легень у пацієнтів із легеневою гіпертензією </w:t>
      </w:r>
    </w:p>
    <w:p w14:paraId="00000065" w14:textId="77777777" w:rsidR="005534B5" w:rsidRDefault="006C3692">
      <w:pPr>
        <w:widowControl w:val="0"/>
        <w:pBdr>
          <w:top w:val="nil"/>
          <w:left w:val="nil"/>
          <w:bottom w:val="nil"/>
          <w:right w:val="nil"/>
          <w:between w:val="nil"/>
        </w:pBdr>
        <w:spacing w:before="134" w:line="207" w:lineRule="auto"/>
        <w:ind w:left="2694" w:right="833" w:hanging="1715"/>
        <w:rPr>
          <w:b/>
          <w:color w:val="231F20"/>
          <w:sz w:val="11"/>
          <w:szCs w:val="11"/>
          <w:u w:val="single"/>
        </w:rPr>
      </w:pPr>
      <w:r>
        <w:rPr>
          <w:b/>
          <w:color w:val="231F20"/>
          <w:sz w:val="26"/>
          <w:szCs w:val="26"/>
          <w:vertAlign w:val="subscript"/>
        </w:rPr>
        <w:t>Показник</w:t>
      </w:r>
      <w:r>
        <w:rPr>
          <w:b/>
          <w:color w:val="231F20"/>
          <w:sz w:val="18"/>
          <w:szCs w:val="18"/>
        </w:rPr>
        <w:t xml:space="preserve">ЖЄЛ, % </w:t>
      </w:r>
      <w:r>
        <w:rPr>
          <w:b/>
          <w:color w:val="231F20"/>
          <w:sz w:val="16"/>
          <w:szCs w:val="16"/>
        </w:rPr>
        <w:t>ФЖЄЛ, % ОФВ1, % ДЗМВ, % r р</w:t>
      </w:r>
      <w:r>
        <w:rPr>
          <w:b/>
          <w:color w:val="231F20"/>
          <w:sz w:val="18"/>
          <w:szCs w:val="18"/>
          <w:u w:val="single"/>
          <w:vertAlign w:val="subscript"/>
        </w:rPr>
        <w:t xml:space="preserve">1 </w:t>
      </w:r>
      <w:r>
        <w:rPr>
          <w:b/>
          <w:color w:val="231F20"/>
          <w:sz w:val="16"/>
          <w:szCs w:val="16"/>
        </w:rPr>
        <w:t>p</w:t>
      </w:r>
      <w:r>
        <w:rPr>
          <w:b/>
          <w:color w:val="231F20"/>
          <w:sz w:val="18"/>
          <w:szCs w:val="18"/>
          <w:u w:val="single"/>
          <w:vertAlign w:val="subscript"/>
        </w:rPr>
        <w:t xml:space="preserve">2 </w:t>
      </w:r>
      <w:r>
        <w:rPr>
          <w:b/>
          <w:color w:val="231F20"/>
          <w:sz w:val="16"/>
          <w:szCs w:val="16"/>
        </w:rPr>
        <w:t>r р</w:t>
      </w:r>
      <w:r>
        <w:rPr>
          <w:b/>
          <w:color w:val="231F20"/>
          <w:sz w:val="18"/>
          <w:szCs w:val="18"/>
          <w:u w:val="single"/>
          <w:vertAlign w:val="subscript"/>
        </w:rPr>
        <w:t xml:space="preserve">1 </w:t>
      </w:r>
      <w:r>
        <w:rPr>
          <w:b/>
          <w:color w:val="231F20"/>
          <w:sz w:val="16"/>
          <w:szCs w:val="16"/>
        </w:rPr>
        <w:t>p</w:t>
      </w:r>
      <w:r>
        <w:rPr>
          <w:b/>
          <w:color w:val="231F20"/>
          <w:sz w:val="18"/>
          <w:szCs w:val="18"/>
          <w:u w:val="single"/>
          <w:vertAlign w:val="subscript"/>
        </w:rPr>
        <w:t xml:space="preserve">2 </w:t>
      </w:r>
      <w:r>
        <w:rPr>
          <w:b/>
          <w:color w:val="231F20"/>
          <w:sz w:val="16"/>
          <w:szCs w:val="16"/>
        </w:rPr>
        <w:t>r р</w:t>
      </w:r>
      <w:r>
        <w:rPr>
          <w:b/>
          <w:color w:val="231F20"/>
          <w:sz w:val="18"/>
          <w:szCs w:val="18"/>
          <w:u w:val="single"/>
          <w:vertAlign w:val="subscript"/>
        </w:rPr>
        <w:t xml:space="preserve">1 </w:t>
      </w:r>
      <w:r>
        <w:rPr>
          <w:b/>
          <w:color w:val="231F20"/>
          <w:sz w:val="16"/>
          <w:szCs w:val="16"/>
        </w:rPr>
        <w:t>p</w:t>
      </w:r>
      <w:r>
        <w:rPr>
          <w:b/>
          <w:color w:val="231F20"/>
          <w:sz w:val="18"/>
          <w:szCs w:val="18"/>
          <w:u w:val="single"/>
          <w:vertAlign w:val="subscript"/>
        </w:rPr>
        <w:t xml:space="preserve">2 </w:t>
      </w:r>
      <w:r>
        <w:rPr>
          <w:b/>
          <w:color w:val="231F20"/>
          <w:sz w:val="16"/>
          <w:szCs w:val="16"/>
        </w:rPr>
        <w:t>r р</w:t>
      </w:r>
      <w:r>
        <w:rPr>
          <w:b/>
          <w:color w:val="231F20"/>
          <w:sz w:val="18"/>
          <w:szCs w:val="18"/>
          <w:u w:val="single"/>
          <w:vertAlign w:val="subscript"/>
        </w:rPr>
        <w:t xml:space="preserve">1 </w:t>
      </w:r>
      <w:r>
        <w:rPr>
          <w:b/>
          <w:color w:val="231F20"/>
          <w:sz w:val="16"/>
          <w:szCs w:val="16"/>
        </w:rPr>
        <w:t>p</w:t>
      </w:r>
      <w:r>
        <w:rPr>
          <w:b/>
          <w:color w:val="231F20"/>
          <w:sz w:val="18"/>
          <w:szCs w:val="18"/>
          <w:vertAlign w:val="subscript"/>
        </w:rPr>
        <w:t>2</w:t>
      </w:r>
      <w:r>
        <w:rPr>
          <w:b/>
          <w:color w:val="231F20"/>
          <w:sz w:val="11"/>
          <w:szCs w:val="11"/>
          <w:u w:val="single"/>
        </w:rPr>
        <w:t xml:space="preserve"> </w:t>
      </w:r>
    </w:p>
    <w:p w14:paraId="00000066" w14:textId="77777777" w:rsidR="005534B5" w:rsidRDefault="006C3692">
      <w:pPr>
        <w:widowControl w:val="0"/>
        <w:pBdr>
          <w:top w:val="nil"/>
          <w:left w:val="nil"/>
          <w:bottom w:val="nil"/>
          <w:right w:val="nil"/>
          <w:between w:val="nil"/>
        </w:pBdr>
        <w:spacing w:before="52" w:line="305" w:lineRule="auto"/>
        <w:ind w:left="976" w:right="734" w:firstLine="6"/>
        <w:rPr>
          <w:color w:val="231F20"/>
          <w:sz w:val="15"/>
          <w:szCs w:val="15"/>
        </w:rPr>
        <w:sectPr w:rsidR="005534B5">
          <w:type w:val="continuous"/>
          <w:pgSz w:w="12180" w:h="16440"/>
          <w:pgMar w:top="1170" w:right="756" w:bottom="1145" w:left="790" w:header="0" w:footer="720" w:gutter="0"/>
          <w:cols w:space="720" w:equalWidth="0">
            <w:col w:w="10633" w:space="0"/>
          </w:cols>
        </w:sectPr>
      </w:pPr>
      <w:r>
        <w:rPr>
          <w:color w:val="231F20"/>
          <w:sz w:val="15"/>
          <w:szCs w:val="15"/>
        </w:rPr>
        <w:t xml:space="preserve">Вік, роки 0,022 0,875 НЗ –0,022 0,877 НЗ 0,011 0,935 НЗ –0,284 0,038* 0,309 Стать  </w:t>
      </w:r>
    </w:p>
    <w:p w14:paraId="00000067" w14:textId="77777777" w:rsidR="005534B5" w:rsidRDefault="006C3692">
      <w:pPr>
        <w:widowControl w:val="0"/>
        <w:pBdr>
          <w:top w:val="nil"/>
          <w:left w:val="nil"/>
          <w:bottom w:val="nil"/>
          <w:right w:val="nil"/>
          <w:between w:val="nil"/>
        </w:pBdr>
        <w:spacing w:line="213" w:lineRule="auto"/>
        <w:rPr>
          <w:color w:val="231F20"/>
          <w:sz w:val="16"/>
          <w:szCs w:val="16"/>
        </w:rPr>
      </w:pPr>
      <w:r>
        <w:rPr>
          <w:color w:val="231F20"/>
          <w:sz w:val="16"/>
          <w:szCs w:val="16"/>
        </w:rPr>
        <w:lastRenderedPageBreak/>
        <w:t xml:space="preserve">чоловіки – </w:t>
      </w:r>
      <w:proofErr w:type="gramStart"/>
      <w:r>
        <w:rPr>
          <w:color w:val="231F20"/>
          <w:sz w:val="16"/>
          <w:szCs w:val="16"/>
        </w:rPr>
        <w:t>1  жінки</w:t>
      </w:r>
      <w:proofErr w:type="gramEnd"/>
      <w:r>
        <w:rPr>
          <w:color w:val="231F20"/>
          <w:sz w:val="16"/>
          <w:szCs w:val="16"/>
        </w:rPr>
        <w:t xml:space="preserve"> – 0 </w:t>
      </w:r>
    </w:p>
    <w:p w14:paraId="00000068" w14:textId="77777777" w:rsidR="005534B5" w:rsidRDefault="006C3692">
      <w:pPr>
        <w:widowControl w:val="0"/>
        <w:pBdr>
          <w:top w:val="nil"/>
          <w:left w:val="nil"/>
          <w:bottom w:val="nil"/>
          <w:right w:val="nil"/>
          <w:between w:val="nil"/>
        </w:pBdr>
        <w:spacing w:line="240" w:lineRule="auto"/>
        <w:rPr>
          <w:color w:val="231F20"/>
          <w:sz w:val="15"/>
          <w:szCs w:val="15"/>
        </w:rPr>
        <w:sectPr w:rsidR="005534B5">
          <w:type w:val="continuous"/>
          <w:pgSz w:w="12180" w:h="16440"/>
          <w:pgMar w:top="1170" w:right="1582" w:bottom="1145" w:left="1874" w:header="0" w:footer="720" w:gutter="0"/>
          <w:cols w:num="2" w:space="720" w:equalWidth="0">
            <w:col w:w="4380" w:space="0"/>
            <w:col w:w="4380" w:space="0"/>
          </w:cols>
        </w:sectPr>
      </w:pPr>
      <w:r>
        <w:rPr>
          <w:color w:val="231F20"/>
          <w:sz w:val="15"/>
          <w:szCs w:val="15"/>
        </w:rPr>
        <w:t xml:space="preserve">0,109 0,431 НЗ 0,176 0,204 НЗ 0,272 0,047* 0,099 0,167 0,229 </w:t>
      </w:r>
      <w:r>
        <w:rPr>
          <w:color w:val="231F20"/>
          <w:sz w:val="15"/>
          <w:szCs w:val="15"/>
        </w:rPr>
        <w:lastRenderedPageBreak/>
        <w:t xml:space="preserve">НЗ </w:t>
      </w:r>
    </w:p>
    <w:p w14:paraId="00000069" w14:textId="77777777" w:rsidR="005534B5" w:rsidRDefault="006C3692">
      <w:pPr>
        <w:widowControl w:val="0"/>
        <w:pBdr>
          <w:top w:val="nil"/>
          <w:left w:val="nil"/>
          <w:bottom w:val="nil"/>
          <w:right w:val="nil"/>
          <w:between w:val="nil"/>
        </w:pBdr>
        <w:spacing w:before="257" w:line="293" w:lineRule="auto"/>
        <w:ind w:left="970" w:right="736"/>
        <w:rPr>
          <w:color w:val="231F20"/>
          <w:sz w:val="15"/>
          <w:szCs w:val="15"/>
        </w:rPr>
      </w:pPr>
      <w:r>
        <w:rPr>
          <w:color w:val="231F20"/>
          <w:sz w:val="15"/>
          <w:szCs w:val="15"/>
        </w:rPr>
        <w:lastRenderedPageBreak/>
        <w:t>Дистанція 6-ХТ, м 0,276 0,050* 0,52 0,324 0,02* 0,278 0,207 0,146 НЗ 0,338 0,015* 0,257 Гемоглобін, г/л –0,035 0,801 НЗ –0,021 0,881 НЗ –0,071 0,611 НЗ 0,251 0,070 НЗ N-КМНУП, пг/мл –0,041 0,770 НЗ –0,028 0,841 НЗ 0,018 0,901 НЗ –0,166 0,235 НЗ Площа ПП, с</w:t>
      </w:r>
      <w:r>
        <w:rPr>
          <w:color w:val="231F20"/>
          <w:sz w:val="15"/>
          <w:szCs w:val="15"/>
        </w:rPr>
        <w:t>м</w:t>
      </w:r>
      <w:r>
        <w:rPr>
          <w:strike/>
          <w:color w:val="231F20"/>
          <w:sz w:val="17"/>
          <w:szCs w:val="17"/>
          <w:vertAlign w:val="superscript"/>
        </w:rPr>
        <w:t xml:space="preserve">2 </w:t>
      </w:r>
      <w:r>
        <w:rPr>
          <w:color w:val="231F20"/>
          <w:sz w:val="15"/>
          <w:szCs w:val="15"/>
        </w:rPr>
        <w:t>–0,324 0,018* 0,04* –0,337 0,014* 0,010* –0,182 0,192 НЗ 0,083 0,556 НЗ TAPSE, мм –0,019 0,893 НЗ –0,024 0,864 НЗ –0,064 0,644 НЗ 0,187 0,175 НЗ СТПШ, мм рт. ст. –0,312 0,047* 0,125 –0,387 0,012* 0,605 –0,354 0,023* 0,754 0,184 0,249 НЗ СерТПШ, мм рт. с</w:t>
      </w:r>
      <w:r>
        <w:rPr>
          <w:color w:val="231F20"/>
          <w:sz w:val="15"/>
          <w:szCs w:val="15"/>
        </w:rPr>
        <w:t xml:space="preserve">т. –0,300 0,057 НЗ –0,343 0,028* 0,940 –0,356 0,022* 0,170 0,186 0,245 НЗ ЗЛО, од. Вуда –0,028 0,869 НЗ –0,126 0,463 НЗ –0,061 0,722 НЗ –0,337 0,045* 0,113 </w:t>
      </w:r>
    </w:p>
    <w:p w14:paraId="0000006A" w14:textId="77777777" w:rsidR="005534B5" w:rsidRDefault="006C3692">
      <w:pPr>
        <w:widowControl w:val="0"/>
        <w:pBdr>
          <w:top w:val="nil"/>
          <w:left w:val="nil"/>
          <w:bottom w:val="nil"/>
          <w:right w:val="nil"/>
          <w:between w:val="nil"/>
        </w:pBdr>
        <w:spacing w:before="21" w:line="282" w:lineRule="auto"/>
        <w:ind w:left="970" w:right="733" w:firstLine="5"/>
        <w:rPr>
          <w:color w:val="231F20"/>
          <w:sz w:val="15"/>
          <w:szCs w:val="15"/>
        </w:rPr>
      </w:pPr>
      <w:r>
        <w:rPr>
          <w:color w:val="231F20"/>
          <w:sz w:val="15"/>
          <w:szCs w:val="15"/>
        </w:rPr>
        <w:t>SaО</w:t>
      </w:r>
      <w:r>
        <w:rPr>
          <w:color w:val="231F20"/>
          <w:sz w:val="17"/>
          <w:szCs w:val="17"/>
          <w:vertAlign w:val="subscript"/>
        </w:rPr>
        <w:t>2</w:t>
      </w:r>
      <w:r>
        <w:rPr>
          <w:color w:val="231F20"/>
          <w:sz w:val="15"/>
          <w:szCs w:val="15"/>
        </w:rPr>
        <w:t>, % 0,035 0,828 НЗ –0,015 0,925 НЗ 0,051 0,750 НЗ 0,454 0,003* 0,286 Наявність ВВС –0,337 0,013</w:t>
      </w:r>
      <w:r>
        <w:rPr>
          <w:color w:val="231F20"/>
          <w:sz w:val="15"/>
          <w:szCs w:val="15"/>
        </w:rPr>
        <w:t xml:space="preserve">* 0,139 –0,256 0,062 НЗ –0,411 0,002* 0,001* 0,095 0,504 НЗ Тест ANOVA p = 0,011 p = 0,010 p = 0,003 p = 0,013 </w:t>
      </w:r>
    </w:p>
    <w:p w14:paraId="0000006B" w14:textId="77777777" w:rsidR="005534B5" w:rsidRDefault="006C3692">
      <w:pPr>
        <w:widowControl w:val="0"/>
        <w:pBdr>
          <w:top w:val="nil"/>
          <w:left w:val="nil"/>
          <w:bottom w:val="nil"/>
          <w:right w:val="nil"/>
          <w:between w:val="nil"/>
        </w:pBdr>
        <w:spacing w:before="62" w:line="237" w:lineRule="auto"/>
        <w:ind w:left="884" w:right="592" w:firstLine="8"/>
        <w:jc w:val="both"/>
        <w:rPr>
          <w:color w:val="231F20"/>
          <w:sz w:val="14"/>
          <w:szCs w:val="14"/>
        </w:rPr>
      </w:pPr>
      <w:r>
        <w:rPr>
          <w:color w:val="231F20"/>
          <w:sz w:val="14"/>
          <w:szCs w:val="14"/>
        </w:rPr>
        <w:t>* У таблиці представлено тільки показники, які мали статистично значущу кореляцію; р</w:t>
      </w:r>
      <w:r>
        <w:rPr>
          <w:color w:val="231F20"/>
          <w:sz w:val="16"/>
          <w:szCs w:val="16"/>
          <w:vertAlign w:val="subscript"/>
        </w:rPr>
        <w:t>1</w:t>
      </w:r>
      <w:r>
        <w:rPr>
          <w:color w:val="231F20"/>
          <w:sz w:val="9"/>
          <w:szCs w:val="9"/>
        </w:rPr>
        <w:t xml:space="preserve"> </w:t>
      </w:r>
      <w:r>
        <w:rPr>
          <w:color w:val="231F20"/>
          <w:sz w:val="14"/>
          <w:szCs w:val="14"/>
        </w:rPr>
        <w:t xml:space="preserve">– статистична значущість кореляційного </w:t>
      </w:r>
      <w:proofErr w:type="gramStart"/>
      <w:r>
        <w:rPr>
          <w:color w:val="231F20"/>
          <w:sz w:val="14"/>
          <w:szCs w:val="14"/>
        </w:rPr>
        <w:t>зв’язку;  р</w:t>
      </w:r>
      <w:proofErr w:type="gramEnd"/>
      <w:r>
        <w:rPr>
          <w:color w:val="231F20"/>
          <w:sz w:val="16"/>
          <w:szCs w:val="16"/>
          <w:vertAlign w:val="subscript"/>
        </w:rPr>
        <w:t>2</w:t>
      </w:r>
      <w:r>
        <w:rPr>
          <w:color w:val="231F20"/>
          <w:sz w:val="9"/>
          <w:szCs w:val="9"/>
        </w:rPr>
        <w:t xml:space="preserve"> </w:t>
      </w:r>
      <w:r>
        <w:rPr>
          <w:color w:val="231F20"/>
          <w:sz w:val="14"/>
          <w:szCs w:val="14"/>
        </w:rPr>
        <w:t xml:space="preserve">– статистична значущість мультифакторного регресійного аналізу. ЖЄЛ – життєва ємність легень; ФЖЄЛ – форсована життєва ємність легень; ОФВ1 – об’єм форсованого видиху за 1 секунду; ДЗМВ – дифузійна здатність за монооксидом вуглецю; НЗ – не значущо; 6-ХТ – </w:t>
      </w:r>
      <w:r>
        <w:rPr>
          <w:color w:val="231F20"/>
          <w:sz w:val="14"/>
          <w:szCs w:val="14"/>
        </w:rPr>
        <w:t xml:space="preserve"> тест </w:t>
      </w:r>
      <w:r>
        <w:rPr>
          <w:color w:val="231F20"/>
          <w:sz w:val="14"/>
          <w:szCs w:val="14"/>
        </w:rPr>
        <w:lastRenderedPageBreak/>
        <w:t xml:space="preserve">із 6-хвилинною ходьбою; N-КМНУП – N-кінцевий мозковий натрійуретичний пропептид; ПП – праве передсердя; TAPSE – систолічна </w:t>
      </w:r>
    </w:p>
    <w:p w14:paraId="0000006C" w14:textId="77777777" w:rsidR="005534B5" w:rsidRDefault="006C3692">
      <w:pPr>
        <w:widowControl w:val="0"/>
        <w:pBdr>
          <w:top w:val="nil"/>
          <w:left w:val="nil"/>
          <w:bottom w:val="nil"/>
          <w:right w:val="nil"/>
          <w:between w:val="nil"/>
        </w:pBdr>
        <w:spacing w:line="234" w:lineRule="auto"/>
        <w:ind w:left="894" w:right="592" w:hanging="4"/>
        <w:jc w:val="both"/>
        <w:rPr>
          <w:color w:val="231F20"/>
          <w:sz w:val="14"/>
          <w:szCs w:val="14"/>
        </w:rPr>
      </w:pPr>
      <w:r>
        <w:rPr>
          <w:color w:val="231F20"/>
          <w:sz w:val="14"/>
          <w:szCs w:val="14"/>
        </w:rPr>
        <w:t>екскурсія площини кільця трикуспідального клапана; СТПШ – систолічний тиск у правому шлуночку; СерТПШ – середній тиск у правому шлуночку; ЗЛО – загальний легеневий опір; SaО</w:t>
      </w:r>
      <w:r>
        <w:rPr>
          <w:color w:val="231F20"/>
          <w:sz w:val="16"/>
          <w:szCs w:val="16"/>
          <w:vertAlign w:val="subscript"/>
        </w:rPr>
        <w:t>2</w:t>
      </w:r>
      <w:r>
        <w:rPr>
          <w:color w:val="231F20"/>
          <w:sz w:val="9"/>
          <w:szCs w:val="9"/>
        </w:rPr>
        <w:t xml:space="preserve"> </w:t>
      </w:r>
      <w:r>
        <w:rPr>
          <w:color w:val="231F20"/>
          <w:sz w:val="14"/>
          <w:szCs w:val="14"/>
        </w:rPr>
        <w:t xml:space="preserve">– насичення киснем артеріальної крові; ВВС – вроджена вада серця; ANOVA – </w:t>
      </w:r>
      <w:proofErr w:type="gramStart"/>
      <w:r>
        <w:rPr>
          <w:color w:val="231F20"/>
          <w:sz w:val="14"/>
          <w:szCs w:val="14"/>
        </w:rPr>
        <w:t xml:space="preserve">аналіз </w:t>
      </w:r>
      <w:r>
        <w:rPr>
          <w:color w:val="231F20"/>
          <w:sz w:val="14"/>
          <w:szCs w:val="14"/>
        </w:rPr>
        <w:t xml:space="preserve"> варіант</w:t>
      </w:r>
      <w:proofErr w:type="gramEnd"/>
      <w:r>
        <w:rPr>
          <w:color w:val="231F20"/>
          <w:sz w:val="14"/>
          <w:szCs w:val="14"/>
        </w:rPr>
        <w:t xml:space="preserve">.  </w:t>
      </w:r>
    </w:p>
    <w:p w14:paraId="0000006D" w14:textId="77777777" w:rsidR="005534B5" w:rsidRDefault="006C3692">
      <w:pPr>
        <w:widowControl w:val="0"/>
        <w:pBdr>
          <w:top w:val="nil"/>
          <w:left w:val="nil"/>
          <w:bottom w:val="nil"/>
          <w:right w:val="nil"/>
          <w:between w:val="nil"/>
        </w:pBdr>
        <w:spacing w:before="609" w:line="240" w:lineRule="auto"/>
        <w:ind w:left="885"/>
        <w:rPr>
          <w:color w:val="C0262D"/>
          <w:sz w:val="16"/>
          <w:szCs w:val="16"/>
        </w:rPr>
      </w:pPr>
      <w:r>
        <w:rPr>
          <w:color w:val="C0262D"/>
          <w:sz w:val="16"/>
          <w:szCs w:val="16"/>
        </w:rPr>
        <w:t xml:space="preserve">Таблиця 3 </w:t>
      </w:r>
    </w:p>
    <w:p w14:paraId="0000006E" w14:textId="77777777" w:rsidR="005534B5" w:rsidRDefault="006C3692">
      <w:pPr>
        <w:widowControl w:val="0"/>
        <w:pBdr>
          <w:top w:val="nil"/>
          <w:left w:val="nil"/>
          <w:bottom w:val="nil"/>
          <w:right w:val="nil"/>
          <w:between w:val="nil"/>
        </w:pBdr>
        <w:spacing w:line="213" w:lineRule="auto"/>
        <w:ind w:left="892" w:right="730" w:firstLine="1"/>
        <w:rPr>
          <w:b/>
          <w:color w:val="C0262D"/>
          <w:sz w:val="16"/>
          <w:szCs w:val="16"/>
        </w:rPr>
      </w:pPr>
      <w:r>
        <w:rPr>
          <w:b/>
          <w:color w:val="C0262D"/>
          <w:sz w:val="16"/>
          <w:szCs w:val="16"/>
        </w:rPr>
        <w:t xml:space="preserve">Клініко-демографічні параметри та показники, за якими статистично значущо відрізнялися </w:t>
      </w:r>
      <w:proofErr w:type="gramStart"/>
      <w:r>
        <w:rPr>
          <w:b/>
          <w:color w:val="C0262D"/>
          <w:sz w:val="16"/>
          <w:szCs w:val="16"/>
        </w:rPr>
        <w:t>підгрупи  пацієнтів</w:t>
      </w:r>
      <w:proofErr w:type="gramEnd"/>
      <w:r>
        <w:rPr>
          <w:b/>
          <w:color w:val="C0262D"/>
          <w:sz w:val="16"/>
          <w:szCs w:val="16"/>
        </w:rPr>
        <w:t xml:space="preserve"> із легеневою гіпертензією залежно від величини дифузійної здатності легень (M±СКП або n, %) </w:t>
      </w:r>
    </w:p>
    <w:p w14:paraId="0000006F" w14:textId="77777777" w:rsidR="005534B5" w:rsidRDefault="006C3692">
      <w:pPr>
        <w:widowControl w:val="0"/>
        <w:pBdr>
          <w:top w:val="nil"/>
          <w:left w:val="nil"/>
          <w:bottom w:val="nil"/>
          <w:right w:val="nil"/>
          <w:between w:val="nil"/>
        </w:pBdr>
        <w:spacing w:before="127" w:line="294" w:lineRule="auto"/>
        <w:ind w:left="969" w:right="1096" w:firstLine="9"/>
        <w:rPr>
          <w:color w:val="231F20"/>
          <w:sz w:val="16"/>
          <w:szCs w:val="16"/>
        </w:rPr>
      </w:pPr>
      <w:r>
        <w:rPr>
          <w:rFonts w:ascii="Arial Unicode MS" w:eastAsia="Arial Unicode MS" w:hAnsi="Arial Unicode MS" w:cs="Arial Unicode MS"/>
          <w:b/>
          <w:color w:val="231F20"/>
          <w:sz w:val="16"/>
          <w:szCs w:val="16"/>
        </w:rPr>
        <w:t xml:space="preserve">Показник ДЗМВ &lt; 64 % (n = 27) ДЗМВ ≥ 64 % (n = 29) р </w:t>
      </w:r>
      <w:r>
        <w:rPr>
          <w:color w:val="231F20"/>
          <w:sz w:val="16"/>
          <w:szCs w:val="16"/>
        </w:rPr>
        <w:t>Вік, роки 49,8 ± 11,0 43,2 ± 12,4 0,053 ІМТ, кг/м</w:t>
      </w:r>
      <w:r>
        <w:rPr>
          <w:color w:val="231F20"/>
          <w:sz w:val="18"/>
          <w:szCs w:val="18"/>
          <w:vertAlign w:val="superscript"/>
        </w:rPr>
        <w:t xml:space="preserve">2 </w:t>
      </w:r>
      <w:r>
        <w:rPr>
          <w:color w:val="231F20"/>
          <w:sz w:val="16"/>
          <w:szCs w:val="16"/>
        </w:rPr>
        <w:t xml:space="preserve">27,4 ± 5,8 27,7 ± 7,0 НД Офісний САТ, мм рт. ст. 119,1 ± 13,8 118,4 ± 20,4 НД Офісний ДАТ, мм рт. ст. 77,5 ± 8,1 77,9 ± 14,8 НД ЧСС за 1 хв 84,6 ± 13,9 </w:t>
      </w:r>
      <w:r>
        <w:rPr>
          <w:color w:val="231F20"/>
          <w:sz w:val="16"/>
          <w:szCs w:val="16"/>
        </w:rPr>
        <w:t>82,7 ± 10,3 НД Дистанція 6-ХТ 326,9 ± 120,8 423,9 ± 132,7 0,014 SaО</w:t>
      </w:r>
      <w:r>
        <w:rPr>
          <w:color w:val="231F20"/>
          <w:sz w:val="18"/>
          <w:szCs w:val="18"/>
          <w:vertAlign w:val="subscript"/>
        </w:rPr>
        <w:t>2</w:t>
      </w:r>
      <w:r>
        <w:rPr>
          <w:color w:val="231F20"/>
          <w:sz w:val="16"/>
          <w:szCs w:val="16"/>
        </w:rPr>
        <w:t>, % 92,3 ± 6,6 95,4 ± 2,9 0,023 Гемоглобін, г/л 143,8 ± 21,0 159,3 ± 24,9 0,031 N-КМНУП, пг/мл 2047,9 ± 2071,3 911,3 ± 1104,9 0,012 ХОК, л/хв 4,7 ± 1,36 5,9 ± 2,76 0,056 СІ, л/хв/м</w:t>
      </w:r>
      <w:r>
        <w:rPr>
          <w:color w:val="231F20"/>
          <w:sz w:val="18"/>
          <w:szCs w:val="18"/>
          <w:vertAlign w:val="superscript"/>
        </w:rPr>
        <w:t xml:space="preserve">2 </w:t>
      </w:r>
      <w:r>
        <w:rPr>
          <w:color w:val="231F20"/>
          <w:sz w:val="16"/>
          <w:szCs w:val="16"/>
        </w:rPr>
        <w:t>2,46 ±</w:t>
      </w:r>
      <w:r>
        <w:rPr>
          <w:color w:val="231F20"/>
          <w:sz w:val="16"/>
          <w:szCs w:val="16"/>
        </w:rPr>
        <w:t xml:space="preserve"> 0,75 3,13 ± 1,5 0,054 SаO</w:t>
      </w:r>
      <w:r>
        <w:rPr>
          <w:color w:val="231F20"/>
          <w:sz w:val="18"/>
          <w:szCs w:val="18"/>
          <w:vertAlign w:val="subscript"/>
        </w:rPr>
        <w:t>2</w:t>
      </w:r>
      <w:r>
        <w:rPr>
          <w:color w:val="231F20"/>
          <w:sz w:val="11"/>
          <w:szCs w:val="11"/>
        </w:rPr>
        <w:t xml:space="preserve"> </w:t>
      </w:r>
      <w:r>
        <w:rPr>
          <w:color w:val="231F20"/>
          <w:sz w:val="16"/>
          <w:szCs w:val="16"/>
        </w:rPr>
        <w:t xml:space="preserve">стегнова, % 91,8 ± 9,25 95,9 ± 2,04 0,032 TAPSE, мм 16,74 ± 4,7 20,2 ± 4,6 0,015 Жінки/чоловіки, n (%) 16 (64) / 9 (36) 22 (75,9) / 7 (24,1) НД Курці, n (%) 5 (20) 3 (10,3) НД </w:t>
      </w:r>
    </w:p>
    <w:p w14:paraId="00000070" w14:textId="77777777" w:rsidR="005534B5" w:rsidRDefault="006C3692">
      <w:pPr>
        <w:widowControl w:val="0"/>
        <w:pBdr>
          <w:top w:val="nil"/>
          <w:left w:val="nil"/>
          <w:bottom w:val="nil"/>
          <w:right w:val="nil"/>
          <w:between w:val="nil"/>
        </w:pBdr>
        <w:spacing w:before="93" w:line="229" w:lineRule="auto"/>
        <w:ind w:left="884" w:right="592" w:firstLine="11"/>
        <w:jc w:val="both"/>
        <w:rPr>
          <w:color w:val="231F20"/>
          <w:sz w:val="14"/>
          <w:szCs w:val="14"/>
        </w:rPr>
      </w:pPr>
      <w:r>
        <w:rPr>
          <w:color w:val="231F20"/>
          <w:sz w:val="14"/>
          <w:szCs w:val="14"/>
        </w:rPr>
        <w:t>M – середнє значення показника по вказаній групі; С</w:t>
      </w:r>
      <w:r>
        <w:rPr>
          <w:color w:val="231F20"/>
          <w:sz w:val="14"/>
          <w:szCs w:val="14"/>
        </w:rPr>
        <w:t xml:space="preserve">КП – середньоквадратична похибка; ДЗЛМВ – дифузійна здатність легень за моно ксидом вуглецю; ІМТ – індекс маси тіла; НЗ – не значущо; САТ – систолічний артеріальний тиск; ДАТ – діастолічний артеріальний тиск;  ЧСС – частота скорочень серця; 6-ХТ – тест із </w:t>
      </w:r>
      <w:r>
        <w:rPr>
          <w:color w:val="231F20"/>
          <w:sz w:val="14"/>
          <w:szCs w:val="14"/>
        </w:rPr>
        <w:t>6-хвилинною ходьбою; SaO</w:t>
      </w:r>
      <w:r>
        <w:rPr>
          <w:color w:val="231F20"/>
          <w:sz w:val="16"/>
          <w:szCs w:val="16"/>
          <w:vertAlign w:val="subscript"/>
        </w:rPr>
        <w:t>2</w:t>
      </w:r>
      <w:r>
        <w:rPr>
          <w:color w:val="231F20"/>
          <w:sz w:val="9"/>
          <w:szCs w:val="9"/>
        </w:rPr>
        <w:t xml:space="preserve"> </w:t>
      </w:r>
      <w:r>
        <w:rPr>
          <w:color w:val="231F20"/>
          <w:sz w:val="14"/>
          <w:szCs w:val="14"/>
        </w:rPr>
        <w:t xml:space="preserve">– насичення киснем артеріальної крові; N-КМНУП – N-кінцевий  мозковий натрійуретичний пропептид; ХОК – хвилинний об’єм крові; СІ – серцевий індекс; TAPSE – систолічна екскурсія площини кільця  трикуспідального клапана. </w:t>
      </w:r>
    </w:p>
    <w:p w14:paraId="00000071" w14:textId="77777777" w:rsidR="005534B5" w:rsidRDefault="006C3692">
      <w:pPr>
        <w:widowControl w:val="0"/>
        <w:pBdr>
          <w:top w:val="nil"/>
          <w:left w:val="nil"/>
          <w:bottom w:val="nil"/>
          <w:right w:val="nil"/>
          <w:between w:val="nil"/>
        </w:pBdr>
        <w:spacing w:line="479" w:lineRule="auto"/>
        <w:ind w:left="10272" w:right="228" w:hanging="9928"/>
        <w:rPr>
          <w:color w:val="FFFFFF"/>
          <w:sz w:val="18"/>
          <w:szCs w:val="18"/>
        </w:rPr>
      </w:pPr>
      <w:r>
        <w:rPr>
          <w:color w:val="231F20"/>
          <w:sz w:val="36"/>
          <w:szCs w:val="36"/>
          <w:vertAlign w:val="subscript"/>
        </w:rPr>
        <w:t>59</w:t>
      </w:r>
      <w:r>
        <w:rPr>
          <w:color w:val="231F20"/>
        </w:rPr>
        <w:t xml:space="preserve"> </w:t>
      </w:r>
      <w:r>
        <w:rPr>
          <w:color w:val="005769"/>
          <w:sz w:val="14"/>
          <w:szCs w:val="14"/>
        </w:rPr>
        <w:t xml:space="preserve">С.О. Прогонов та співавт. Кардіохірургія та інтервенційна кардіологія. 2024; Том 13, № 3 </w:t>
      </w:r>
      <w:r>
        <w:rPr>
          <w:color w:val="FFFFFF"/>
          <w:sz w:val="30"/>
          <w:szCs w:val="30"/>
          <w:vertAlign w:val="subscript"/>
        </w:rPr>
        <w:t>ОРИГІНАЛЬНІ</w:t>
      </w:r>
      <w:r>
        <w:rPr>
          <w:color w:val="FFFFFF"/>
          <w:sz w:val="18"/>
          <w:szCs w:val="18"/>
        </w:rPr>
        <w:t xml:space="preserve">  </w:t>
      </w:r>
    </w:p>
    <w:p w14:paraId="00000072" w14:textId="77777777" w:rsidR="005534B5" w:rsidRDefault="006C3692">
      <w:pPr>
        <w:widowControl w:val="0"/>
        <w:pBdr>
          <w:top w:val="nil"/>
          <w:left w:val="nil"/>
          <w:bottom w:val="nil"/>
          <w:right w:val="nil"/>
          <w:between w:val="nil"/>
        </w:pBdr>
        <w:spacing w:line="240" w:lineRule="auto"/>
        <w:ind w:right="-8"/>
        <w:jc w:val="right"/>
        <w:rPr>
          <w:color w:val="FFFFFF"/>
          <w:sz w:val="18"/>
          <w:szCs w:val="18"/>
        </w:rPr>
      </w:pPr>
      <w:r>
        <w:rPr>
          <w:color w:val="FFFFFF"/>
          <w:sz w:val="30"/>
          <w:szCs w:val="30"/>
          <w:vertAlign w:val="subscript"/>
        </w:rPr>
        <w:t>ДОСЛІДЖЕНН</w:t>
      </w:r>
      <w:r>
        <w:rPr>
          <w:color w:val="FFFFFF"/>
          <w:sz w:val="18"/>
          <w:szCs w:val="18"/>
        </w:rPr>
        <w:t xml:space="preserve">Я </w:t>
      </w:r>
    </w:p>
    <w:p w14:paraId="00000073" w14:textId="77777777" w:rsidR="005534B5" w:rsidRDefault="006C3692">
      <w:pPr>
        <w:widowControl w:val="0"/>
        <w:pBdr>
          <w:top w:val="nil"/>
          <w:left w:val="nil"/>
          <w:bottom w:val="nil"/>
          <w:right w:val="nil"/>
          <w:between w:val="nil"/>
        </w:pBdr>
        <w:spacing w:line="240" w:lineRule="auto"/>
        <w:ind w:left="601"/>
        <w:rPr>
          <w:color w:val="C0262D"/>
          <w:sz w:val="16"/>
          <w:szCs w:val="16"/>
        </w:rPr>
      </w:pPr>
      <w:r>
        <w:rPr>
          <w:color w:val="C0262D"/>
          <w:sz w:val="16"/>
          <w:szCs w:val="16"/>
        </w:rPr>
        <w:t xml:space="preserve">Таблиця 4 </w:t>
      </w:r>
    </w:p>
    <w:p w14:paraId="00000074" w14:textId="77777777" w:rsidR="005534B5" w:rsidRDefault="006C3692">
      <w:pPr>
        <w:widowControl w:val="0"/>
        <w:pBdr>
          <w:top w:val="nil"/>
          <w:left w:val="nil"/>
          <w:bottom w:val="nil"/>
          <w:right w:val="nil"/>
          <w:between w:val="nil"/>
        </w:pBdr>
        <w:spacing w:line="213" w:lineRule="auto"/>
        <w:ind w:left="607" w:right="927" w:firstLine="2"/>
        <w:rPr>
          <w:b/>
          <w:color w:val="C0262D"/>
          <w:sz w:val="16"/>
          <w:szCs w:val="16"/>
        </w:rPr>
        <w:sectPr w:rsidR="005534B5">
          <w:type w:val="continuous"/>
          <w:pgSz w:w="12180" w:h="16440"/>
          <w:pgMar w:top="1170" w:right="756" w:bottom="1145" w:left="790" w:header="0" w:footer="720" w:gutter="0"/>
          <w:cols w:space="720" w:equalWidth="0">
            <w:col w:w="10633" w:space="0"/>
          </w:cols>
        </w:sectPr>
      </w:pPr>
      <w:r>
        <w:rPr>
          <w:rFonts w:ascii="Arial Unicode MS" w:eastAsia="Arial Unicode MS" w:hAnsi="Arial Unicode MS" w:cs="Arial Unicode MS"/>
          <w:b/>
          <w:color w:val="C0262D"/>
          <w:sz w:val="16"/>
          <w:szCs w:val="16"/>
        </w:rPr>
        <w:t xml:space="preserve">Кореляційно-регресійний аналіз для показника дифузійної здатності легень (1 – ДЗЛМВ &lt; 64 %, 0 – ДЗЛМВ  ≥ 64 %) </w:t>
      </w:r>
    </w:p>
    <w:p w14:paraId="00000075" w14:textId="77777777" w:rsidR="005534B5" w:rsidRDefault="006C3692">
      <w:pPr>
        <w:widowControl w:val="0"/>
        <w:pBdr>
          <w:top w:val="nil"/>
          <w:left w:val="nil"/>
          <w:bottom w:val="nil"/>
          <w:right w:val="nil"/>
          <w:between w:val="nil"/>
        </w:pBdr>
        <w:spacing w:line="260" w:lineRule="auto"/>
        <w:rPr>
          <w:b/>
          <w:color w:val="231F20"/>
          <w:sz w:val="16"/>
          <w:szCs w:val="16"/>
        </w:rPr>
      </w:pPr>
      <w:r>
        <w:rPr>
          <w:b/>
          <w:color w:val="231F20"/>
          <w:sz w:val="26"/>
          <w:szCs w:val="26"/>
          <w:vertAlign w:val="subscript"/>
        </w:rPr>
        <w:lastRenderedPageBreak/>
        <w:t xml:space="preserve">Показник </w:t>
      </w:r>
      <w:r>
        <w:rPr>
          <w:b/>
          <w:color w:val="231F20"/>
          <w:sz w:val="16"/>
          <w:szCs w:val="16"/>
        </w:rPr>
        <w:t xml:space="preserve">Аналіз за Spearman r, значущість </w:t>
      </w:r>
    </w:p>
    <w:p w14:paraId="00000076" w14:textId="77777777" w:rsidR="005534B5" w:rsidRDefault="006C3692">
      <w:pPr>
        <w:widowControl w:val="0"/>
        <w:pBdr>
          <w:top w:val="nil"/>
          <w:left w:val="nil"/>
          <w:bottom w:val="nil"/>
          <w:right w:val="nil"/>
          <w:between w:val="nil"/>
        </w:pBdr>
        <w:spacing w:line="213" w:lineRule="auto"/>
        <w:rPr>
          <w:b/>
          <w:color w:val="231F20"/>
          <w:sz w:val="16"/>
          <w:szCs w:val="16"/>
        </w:rPr>
        <w:sectPr w:rsidR="005534B5">
          <w:type w:val="continuous"/>
          <w:pgSz w:w="12180" w:h="16440"/>
          <w:pgMar w:top="1170" w:right="1791" w:bottom="1145" w:left="1485" w:header="0" w:footer="720" w:gutter="0"/>
          <w:cols w:num="2" w:space="720" w:equalWidth="0">
            <w:col w:w="4460" w:space="0"/>
            <w:col w:w="4460" w:space="0"/>
          </w:cols>
        </w:sectPr>
      </w:pPr>
      <w:r>
        <w:rPr>
          <w:b/>
          <w:color w:val="231F20"/>
          <w:sz w:val="16"/>
          <w:szCs w:val="16"/>
        </w:rPr>
        <w:lastRenderedPageBreak/>
        <w:t xml:space="preserve">Регресійний багатофакторний  аналіз </w:t>
      </w:r>
      <w:r>
        <w:rPr>
          <w:rFonts w:ascii="Times New Roman" w:eastAsia="Times New Roman" w:hAnsi="Times New Roman" w:cs="Times New Roman"/>
          <w:b/>
          <w:color w:val="231F20"/>
          <w:sz w:val="16"/>
          <w:szCs w:val="16"/>
        </w:rPr>
        <w:t xml:space="preserve">β </w:t>
      </w:r>
      <w:r>
        <w:rPr>
          <w:b/>
          <w:color w:val="231F20"/>
          <w:sz w:val="16"/>
          <w:szCs w:val="16"/>
        </w:rPr>
        <w:t xml:space="preserve">(ДІ), значущість </w:t>
      </w:r>
    </w:p>
    <w:p w14:paraId="00000077" w14:textId="77777777" w:rsidR="005534B5" w:rsidRDefault="006C3692">
      <w:pPr>
        <w:widowControl w:val="0"/>
        <w:pBdr>
          <w:top w:val="nil"/>
          <w:left w:val="nil"/>
          <w:bottom w:val="nil"/>
          <w:right w:val="nil"/>
          <w:between w:val="nil"/>
        </w:pBdr>
        <w:spacing w:before="92" w:line="304" w:lineRule="auto"/>
        <w:ind w:left="686" w:right="1417" w:firstLine="13"/>
        <w:rPr>
          <w:color w:val="231F20"/>
          <w:sz w:val="16"/>
          <w:szCs w:val="16"/>
        </w:rPr>
      </w:pPr>
      <w:r>
        <w:rPr>
          <w:color w:val="231F20"/>
          <w:sz w:val="16"/>
          <w:szCs w:val="16"/>
        </w:rPr>
        <w:lastRenderedPageBreak/>
        <w:t>Вік, кг 0,24; p = 0,081 НЗ Стать: жінки – 0, чоловіки – 1 –0,14; p = 0,34 НЗ Гемоглобін, г/л –0,31; p = 0,022 0,95 (0,90–0,99), p = 0,019 Дистанція 6-ХТ, м –0,35; p = 0,012 НЗ SaО</w:t>
      </w:r>
      <w:r>
        <w:rPr>
          <w:color w:val="231F20"/>
          <w:sz w:val="18"/>
          <w:szCs w:val="18"/>
          <w:vertAlign w:val="subscript"/>
        </w:rPr>
        <w:t>2</w:t>
      </w:r>
      <w:r>
        <w:rPr>
          <w:color w:val="231F20"/>
          <w:sz w:val="16"/>
          <w:szCs w:val="16"/>
        </w:rPr>
        <w:t>, % –0,29; p = 0,036 0,75 (0,58–0,95), p = 0,018 N-КМНУП, пг/мл 0,27; p = 0,</w:t>
      </w:r>
      <w:r>
        <w:rPr>
          <w:color w:val="231F20"/>
          <w:sz w:val="16"/>
          <w:szCs w:val="16"/>
        </w:rPr>
        <w:t xml:space="preserve">048 НЗ TAPSE, мм –0,34; p = 0,012 0,75 (0,63–0,91), p = 0,004 </w:t>
      </w:r>
    </w:p>
    <w:p w14:paraId="00000078" w14:textId="77777777" w:rsidR="005534B5" w:rsidRDefault="006C3692">
      <w:pPr>
        <w:widowControl w:val="0"/>
        <w:pBdr>
          <w:top w:val="nil"/>
          <w:left w:val="nil"/>
          <w:bottom w:val="nil"/>
          <w:right w:val="nil"/>
          <w:between w:val="nil"/>
        </w:pBdr>
        <w:spacing w:before="88" w:line="213" w:lineRule="auto"/>
        <w:ind w:left="611" w:right="875" w:hanging="9"/>
        <w:rPr>
          <w:color w:val="231F20"/>
          <w:sz w:val="14"/>
          <w:szCs w:val="14"/>
        </w:rPr>
        <w:sectPr w:rsidR="005534B5">
          <w:type w:val="continuous"/>
          <w:pgSz w:w="12180" w:h="16440"/>
          <w:pgMar w:top="1170" w:right="756" w:bottom="1145" w:left="790" w:header="0" w:footer="720" w:gutter="0"/>
          <w:cols w:space="720" w:equalWidth="0">
            <w:col w:w="10633" w:space="0"/>
          </w:cols>
        </w:sectPr>
      </w:pPr>
      <w:r>
        <w:rPr>
          <w:color w:val="231F20"/>
          <w:sz w:val="14"/>
          <w:szCs w:val="14"/>
        </w:rPr>
        <w:t>ДЗЛМВ – дифузійна здатність легень за монооксидом вуглецю; 6-ХТ – тест із 6-хвилинною ходьбою; SaО</w:t>
      </w:r>
      <w:r>
        <w:rPr>
          <w:color w:val="231F20"/>
          <w:sz w:val="16"/>
          <w:szCs w:val="16"/>
          <w:vertAlign w:val="subscript"/>
        </w:rPr>
        <w:t>2</w:t>
      </w:r>
      <w:r>
        <w:rPr>
          <w:color w:val="231F20"/>
          <w:sz w:val="16"/>
          <w:szCs w:val="16"/>
          <w:vertAlign w:val="superscript"/>
        </w:rPr>
        <w:t xml:space="preserve"> </w:t>
      </w:r>
      <w:r>
        <w:rPr>
          <w:color w:val="231F20"/>
          <w:sz w:val="23"/>
          <w:szCs w:val="23"/>
          <w:vertAlign w:val="superscript"/>
        </w:rPr>
        <w:t xml:space="preserve">– насичення киснем артеріаль </w:t>
      </w:r>
      <w:r>
        <w:rPr>
          <w:color w:val="231F20"/>
          <w:sz w:val="14"/>
          <w:szCs w:val="14"/>
        </w:rPr>
        <w:t xml:space="preserve">ної крові; N-КМНУП – N-кінцевий мозковий натрійуретичний пропептид; TAPSE – систолічна екскурсія площини кільця </w:t>
      </w:r>
      <w:proofErr w:type="gramStart"/>
      <w:r>
        <w:rPr>
          <w:color w:val="231F20"/>
          <w:sz w:val="14"/>
          <w:szCs w:val="14"/>
        </w:rPr>
        <w:t>трикуспідального  клапана</w:t>
      </w:r>
      <w:proofErr w:type="gramEnd"/>
      <w:r>
        <w:rPr>
          <w:color w:val="231F20"/>
          <w:sz w:val="14"/>
          <w:szCs w:val="14"/>
        </w:rPr>
        <w:t xml:space="preserve">. </w:t>
      </w:r>
    </w:p>
    <w:p w14:paraId="00000079" w14:textId="77777777" w:rsidR="005534B5" w:rsidRDefault="006C3692">
      <w:pPr>
        <w:widowControl w:val="0"/>
        <w:pBdr>
          <w:top w:val="nil"/>
          <w:left w:val="nil"/>
          <w:bottom w:val="nil"/>
          <w:right w:val="nil"/>
          <w:between w:val="nil"/>
        </w:pBdr>
        <w:spacing w:before="443" w:line="236" w:lineRule="auto"/>
        <w:ind w:left="1" w:right="136" w:firstLine="6"/>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 xml:space="preserve">були розділені на дві підгрупи: ті, які мали ДЗЛМВ &lt; 64 %, та ті, що мали ДЗЛМВ ≥ 64 %.  Клініко-демографічні параметри та показни ки, за якими статистично значущо відрізня лися підгрупи, представлено в </w:t>
      </w:r>
      <w:r>
        <w:rPr>
          <w:rFonts w:ascii="Source Serif 4" w:eastAsia="Source Serif 4" w:hAnsi="Source Serif 4" w:cs="Source Serif 4"/>
          <w:i/>
          <w:color w:val="231F20"/>
          <w:sz w:val="20"/>
          <w:szCs w:val="20"/>
        </w:rPr>
        <w:t>табл. 3</w:t>
      </w:r>
      <w:r>
        <w:rPr>
          <w:rFonts w:ascii="Source Serif 4" w:eastAsia="Source Serif 4" w:hAnsi="Source Serif 4" w:cs="Source Serif 4"/>
          <w:color w:val="231F20"/>
          <w:sz w:val="20"/>
          <w:szCs w:val="20"/>
        </w:rPr>
        <w:t xml:space="preserve">. </w:t>
      </w:r>
      <w:proofErr w:type="gramStart"/>
      <w:r>
        <w:rPr>
          <w:rFonts w:ascii="Source Serif 4" w:eastAsia="Source Serif 4" w:hAnsi="Source Serif 4" w:cs="Source Serif 4"/>
          <w:color w:val="231F20"/>
          <w:sz w:val="20"/>
          <w:szCs w:val="20"/>
        </w:rPr>
        <w:t>Так,  пацієнти</w:t>
      </w:r>
      <w:proofErr w:type="gramEnd"/>
      <w:r>
        <w:rPr>
          <w:rFonts w:ascii="Source Serif 4" w:eastAsia="Source Serif 4" w:hAnsi="Source Serif 4" w:cs="Source Serif 4"/>
          <w:color w:val="231F20"/>
          <w:sz w:val="20"/>
          <w:szCs w:val="20"/>
        </w:rPr>
        <w:t xml:space="preserve"> підгрупи з ЛГ та ДЗЛМВ &lt; 64 %</w:t>
      </w:r>
      <w:r>
        <w:rPr>
          <w:rFonts w:ascii="Source Serif 4" w:eastAsia="Source Serif 4" w:hAnsi="Source Serif 4" w:cs="Source Serif 4"/>
          <w:color w:val="231F20"/>
          <w:sz w:val="20"/>
          <w:szCs w:val="20"/>
        </w:rPr>
        <w:t xml:space="preserve"> порів няно з ДЗЛМВ ≥ 64 % мали статистично зна чущо нижчі: дистанцію 6-ХТ (р = 0,014), TAPSE  (р  =  0,015), SaО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33"/>
          <w:szCs w:val="33"/>
          <w:vertAlign w:val="superscript"/>
        </w:rPr>
        <w:t xml:space="preserve">при пульсоксиметрії та прямо </w:t>
      </w:r>
      <w:r>
        <w:rPr>
          <w:rFonts w:ascii="Source Serif 4" w:eastAsia="Source Serif 4" w:hAnsi="Source Serif 4" w:cs="Source Serif 4"/>
          <w:color w:val="231F20"/>
          <w:sz w:val="20"/>
          <w:szCs w:val="20"/>
        </w:rPr>
        <w:t>му вимірюванні у крові (р = 0,023 та р = 0,032  відповідно), рівень гемоглобіну (р  =  0,031). У них статистично значущо вищим був рівень N-КМНУП (р = 0,012) та вони були дещо стар шими (р = 0,053). ХОК та СІ хоча і були суттєво нижчими, але різниця не дос</w:t>
      </w:r>
      <w:r>
        <w:rPr>
          <w:rFonts w:ascii="Source Serif 4" w:eastAsia="Source Serif 4" w:hAnsi="Source Serif 4" w:cs="Source Serif 4"/>
          <w:color w:val="231F20"/>
          <w:sz w:val="20"/>
          <w:szCs w:val="20"/>
        </w:rPr>
        <w:t xml:space="preserve">ягнула статис тичної значущості (р = 0,056 та р = 0,054 відпо відно).  </w:t>
      </w:r>
    </w:p>
    <w:p w14:paraId="0000007A" w14:textId="77777777" w:rsidR="005534B5" w:rsidRDefault="006C3692">
      <w:pPr>
        <w:widowControl w:val="0"/>
        <w:pBdr>
          <w:top w:val="nil"/>
          <w:left w:val="nil"/>
          <w:bottom w:val="nil"/>
          <w:right w:val="nil"/>
          <w:between w:val="nil"/>
        </w:pBdr>
        <w:spacing w:before="6" w:line="232" w:lineRule="auto"/>
        <w:ind w:right="184" w:firstLine="288"/>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Кореляційний аналіз за Спірменом </w:t>
      </w:r>
      <w:r>
        <w:rPr>
          <w:rFonts w:ascii="Source Serif 4" w:eastAsia="Source Serif 4" w:hAnsi="Source Serif 4" w:cs="Source Serif 4"/>
          <w:i/>
          <w:color w:val="231F20"/>
          <w:sz w:val="20"/>
          <w:szCs w:val="20"/>
        </w:rPr>
        <w:t xml:space="preserve">(табл.  4) </w:t>
      </w:r>
      <w:r>
        <w:rPr>
          <w:rFonts w:ascii="Source Serif 4" w:eastAsia="Source Serif 4" w:hAnsi="Source Serif 4" w:cs="Source Serif 4"/>
          <w:color w:val="231F20"/>
          <w:sz w:val="20"/>
          <w:szCs w:val="20"/>
        </w:rPr>
        <w:t xml:space="preserve">показав, що наявність ДЗЛМВ </w:t>
      </w:r>
      <w:proofErr w:type="gramStart"/>
      <w:r>
        <w:rPr>
          <w:rFonts w:ascii="Source Serif 4" w:eastAsia="Source Serif 4" w:hAnsi="Source Serif 4" w:cs="Source Serif 4"/>
          <w:color w:val="231F20"/>
          <w:sz w:val="20"/>
          <w:szCs w:val="20"/>
        </w:rPr>
        <w:t>&lt;  64</w:t>
      </w:r>
      <w:proofErr w:type="gramEnd"/>
      <w:r>
        <w:rPr>
          <w:rFonts w:ascii="Source Serif 4" w:eastAsia="Source Serif 4" w:hAnsi="Source Serif 4" w:cs="Source Serif 4"/>
          <w:color w:val="231F20"/>
          <w:sz w:val="20"/>
          <w:szCs w:val="20"/>
        </w:rPr>
        <w:t xml:space="preserve"> % зворотно корелювала з рівнем гемо глобіну </w:t>
      </w:r>
      <w:r>
        <w:rPr>
          <w:rFonts w:ascii="Source Serif 4" w:eastAsia="Source Serif 4" w:hAnsi="Source Serif 4" w:cs="Source Serif 4"/>
          <w:color w:val="231F20"/>
          <w:sz w:val="20"/>
          <w:szCs w:val="20"/>
        </w:rPr>
        <w:lastRenderedPageBreak/>
        <w:t>(r  = –0,31, p  = 0,022), дистанцією 6-ХТ (r  = –0,35, p = 0,0</w:t>
      </w:r>
      <w:r>
        <w:rPr>
          <w:rFonts w:ascii="Source Serif 4" w:eastAsia="Source Serif 4" w:hAnsi="Source Serif 4" w:cs="Source Serif 4"/>
          <w:color w:val="231F20"/>
          <w:sz w:val="20"/>
          <w:szCs w:val="20"/>
        </w:rPr>
        <w:t>12), SaО</w:t>
      </w:r>
      <w:r>
        <w:rPr>
          <w:rFonts w:ascii="Source Serif 4" w:eastAsia="Source Serif 4" w:hAnsi="Source Serif 4" w:cs="Source Serif 4"/>
          <w:color w:val="231F20"/>
          <w:sz w:val="23"/>
          <w:szCs w:val="23"/>
          <w:vertAlign w:val="subscript"/>
        </w:rPr>
        <w:t>2</w:t>
      </w:r>
      <w:r>
        <w:rPr>
          <w:rFonts w:ascii="Source Serif 4" w:eastAsia="Source Serif 4" w:hAnsi="Source Serif 4" w:cs="Source Serif 4"/>
          <w:color w:val="231F20"/>
          <w:sz w:val="14"/>
          <w:szCs w:val="14"/>
        </w:rPr>
        <w:t xml:space="preserve"> </w:t>
      </w:r>
      <w:r>
        <w:rPr>
          <w:rFonts w:ascii="Source Serif 4" w:eastAsia="Source Serif 4" w:hAnsi="Source Serif 4" w:cs="Source Serif 4"/>
          <w:color w:val="231F20"/>
          <w:sz w:val="20"/>
          <w:szCs w:val="20"/>
        </w:rPr>
        <w:t>(r = –0,29, p = 0,036) та TAPSE (r  = –0,34, p= 0,012) та прямо – з рівнем N-КМНУП (r = 0,27, p = 0,048). При проведенні багатофакторного регресійного аналізу неза лежними предикторами зниженої ДЗЛМВ були рівень гемоглобіну (β = 0,95; довірчий ін</w:t>
      </w:r>
      <w:r>
        <w:rPr>
          <w:rFonts w:ascii="Source Serif 4" w:eastAsia="Source Serif 4" w:hAnsi="Source Serif 4" w:cs="Source Serif 4"/>
          <w:color w:val="231F20"/>
          <w:sz w:val="20"/>
          <w:szCs w:val="20"/>
        </w:rPr>
        <w:t>тервал (ДІ) 0,90–0,99), SaО</w:t>
      </w:r>
      <w:r>
        <w:rPr>
          <w:rFonts w:ascii="Source Serif 4" w:eastAsia="Source Serif 4" w:hAnsi="Source Serif 4" w:cs="Source Serif 4"/>
          <w:color w:val="231F20"/>
          <w:sz w:val="23"/>
          <w:szCs w:val="23"/>
          <w:vertAlign w:val="subscript"/>
        </w:rPr>
        <w:t>2</w:t>
      </w:r>
      <w:r>
        <w:rPr>
          <w:rFonts w:ascii="Source Serif 4" w:eastAsia="Source Serif 4" w:hAnsi="Source Serif 4" w:cs="Source Serif 4"/>
          <w:color w:val="231F20"/>
          <w:sz w:val="14"/>
          <w:szCs w:val="14"/>
        </w:rPr>
        <w:t xml:space="preserve"> </w:t>
      </w:r>
      <w:r>
        <w:rPr>
          <w:rFonts w:ascii="Source Serif 4" w:eastAsia="Source Serif 4" w:hAnsi="Source Serif 4" w:cs="Source Serif 4"/>
          <w:color w:val="231F20"/>
          <w:sz w:val="20"/>
          <w:szCs w:val="20"/>
        </w:rPr>
        <w:t xml:space="preserve">(β = 0,75; ДІ 0,58– 0,95) та TAPSE (β = 0,75; ДІ 0,63–0,91). </w:t>
      </w:r>
    </w:p>
    <w:p w14:paraId="0000007B" w14:textId="77777777" w:rsidR="005534B5" w:rsidRDefault="006C3692">
      <w:pPr>
        <w:widowControl w:val="0"/>
        <w:pBdr>
          <w:top w:val="nil"/>
          <w:left w:val="nil"/>
          <w:bottom w:val="nil"/>
          <w:right w:val="nil"/>
          <w:between w:val="nil"/>
        </w:pBdr>
        <w:spacing w:before="11" w:line="239" w:lineRule="auto"/>
        <w:ind w:right="137" w:firstLine="289"/>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Наше дослідження показало, що пацієнти з ЛГ мають статистично значущо гірші показни ки ФЗД та ДЗЛМВ, ніж здорові особи контроль ної групи. Наявність ЛАГ-ВВС асоціюва</w:t>
      </w:r>
      <w:r>
        <w:rPr>
          <w:rFonts w:ascii="Source Serif 4" w:eastAsia="Source Serif 4" w:hAnsi="Source Serif 4" w:cs="Source Serif 4"/>
          <w:color w:val="231F20"/>
          <w:sz w:val="20"/>
          <w:szCs w:val="20"/>
        </w:rPr>
        <w:t xml:space="preserve">лася з найгіршими показниками ФЗД. У загаль ній популяції пацієнтів із ЛГ показники ФЗД,  </w:t>
      </w:r>
    </w:p>
    <w:p w14:paraId="0000007C" w14:textId="77777777" w:rsidR="005534B5" w:rsidRDefault="006C3692">
      <w:pPr>
        <w:widowControl w:val="0"/>
        <w:pBdr>
          <w:top w:val="nil"/>
          <w:left w:val="nil"/>
          <w:bottom w:val="nil"/>
          <w:right w:val="nil"/>
          <w:between w:val="nil"/>
        </w:pBdr>
        <w:spacing w:before="6" w:line="239" w:lineRule="auto"/>
        <w:ind w:left="4" w:right="137" w:hanging="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які характеризують можливості вдиху (</w:t>
      </w:r>
      <w:proofErr w:type="gramStart"/>
      <w:r>
        <w:rPr>
          <w:rFonts w:ascii="Source Serif 4" w:eastAsia="Source Serif 4" w:hAnsi="Source Serif 4" w:cs="Source Serif 4"/>
          <w:color w:val="231F20"/>
          <w:sz w:val="20"/>
          <w:szCs w:val="20"/>
        </w:rPr>
        <w:t>ЖЄЛ,  ФЖЄЛ</w:t>
      </w:r>
      <w:proofErr w:type="gramEnd"/>
      <w:r>
        <w:rPr>
          <w:rFonts w:ascii="Source Serif 4" w:eastAsia="Source Serif 4" w:hAnsi="Source Serif 4" w:cs="Source Serif 4"/>
          <w:color w:val="231F20"/>
          <w:sz w:val="20"/>
          <w:szCs w:val="20"/>
        </w:rPr>
        <w:t xml:space="preserve">), незалежно корелювали з площею ПП,  а показники, що характеризують можливості </w:t>
      </w:r>
    </w:p>
    <w:p w14:paraId="0000007D" w14:textId="77777777" w:rsidR="005534B5" w:rsidRDefault="006C3692">
      <w:pPr>
        <w:widowControl w:val="0"/>
        <w:pBdr>
          <w:top w:val="nil"/>
          <w:left w:val="nil"/>
          <w:bottom w:val="nil"/>
          <w:right w:val="nil"/>
          <w:between w:val="nil"/>
        </w:pBdr>
        <w:spacing w:line="226" w:lineRule="auto"/>
        <w:ind w:left="101" w:right="85" w:firstLine="5"/>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видиху (ОФВ1), – із наявністю ВВС. Зниження ДЗЛМВ (&lt; 64 %) корелювало з рівнем гемогло біну, SaО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20"/>
          <w:szCs w:val="20"/>
        </w:rPr>
        <w:t xml:space="preserve">та показниками, які характеризують функціональний стан пацієнта. Проте неза </w:t>
      </w:r>
      <w:r>
        <w:rPr>
          <w:rFonts w:ascii="Source Serif 4" w:eastAsia="Source Serif 4" w:hAnsi="Source Serif 4" w:cs="Source Serif 4"/>
          <w:color w:val="231F20"/>
          <w:sz w:val="20"/>
          <w:szCs w:val="20"/>
        </w:rPr>
        <w:lastRenderedPageBreak/>
        <w:t>лежними предикторами наявності низької ДЗЛМВ були знижені рівні гемоглобіну, SaО</w:t>
      </w:r>
      <w:r>
        <w:rPr>
          <w:rFonts w:ascii="Source Serif 4" w:eastAsia="Source Serif 4" w:hAnsi="Source Serif 4" w:cs="Source Serif 4"/>
          <w:color w:val="231F20"/>
          <w:sz w:val="23"/>
          <w:szCs w:val="23"/>
          <w:vertAlign w:val="subscript"/>
        </w:rPr>
        <w:t>2</w:t>
      </w:r>
      <w:r>
        <w:rPr>
          <w:rFonts w:ascii="Source Serif 4" w:eastAsia="Source Serif 4" w:hAnsi="Source Serif 4" w:cs="Source Serif 4"/>
          <w:color w:val="231F20"/>
          <w:sz w:val="14"/>
          <w:szCs w:val="14"/>
        </w:rPr>
        <w:t xml:space="preserve"> </w:t>
      </w:r>
      <w:r>
        <w:rPr>
          <w:rFonts w:ascii="Source Serif 4" w:eastAsia="Source Serif 4" w:hAnsi="Source Serif 4" w:cs="Source Serif 4"/>
          <w:color w:val="231F20"/>
          <w:sz w:val="20"/>
          <w:szCs w:val="20"/>
        </w:rPr>
        <w:t xml:space="preserve">та ТАPSE. </w:t>
      </w:r>
    </w:p>
    <w:p w14:paraId="0000007E" w14:textId="77777777" w:rsidR="005534B5" w:rsidRDefault="006C3692">
      <w:pPr>
        <w:widowControl w:val="0"/>
        <w:pBdr>
          <w:top w:val="nil"/>
          <w:left w:val="nil"/>
          <w:bottom w:val="nil"/>
          <w:right w:val="nil"/>
          <w:between w:val="nil"/>
        </w:pBdr>
        <w:spacing w:before="307" w:line="240" w:lineRule="auto"/>
        <w:ind w:left="108"/>
        <w:rPr>
          <w:b/>
          <w:color w:val="005769"/>
          <w:sz w:val="24"/>
          <w:szCs w:val="24"/>
        </w:rPr>
      </w:pPr>
      <w:r>
        <w:rPr>
          <w:b/>
          <w:color w:val="005769"/>
          <w:sz w:val="24"/>
          <w:szCs w:val="24"/>
        </w:rPr>
        <w:t xml:space="preserve">Обговорення  </w:t>
      </w:r>
    </w:p>
    <w:p w14:paraId="0000007F" w14:textId="77777777" w:rsidR="005534B5" w:rsidRDefault="006C3692">
      <w:pPr>
        <w:widowControl w:val="0"/>
        <w:pBdr>
          <w:top w:val="nil"/>
          <w:left w:val="nil"/>
          <w:bottom w:val="nil"/>
          <w:right w:val="nil"/>
          <w:between w:val="nil"/>
        </w:pBdr>
        <w:spacing w:before="147" w:line="239" w:lineRule="auto"/>
        <w:ind w:left="101" w:right="36" w:firstLine="288"/>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Наше дослідження підтвердило результати інших спостережень, в яких показано, що в пацієнтів із ЛАГ та ХТЕЛГ може спостерігатися порушення ФЗД [10, 31, 32]. Є декілька пояс нень цим порушенням. Перше, при ЛАГ є озна ки системного запалення, що може відграва</w:t>
      </w:r>
      <w:r>
        <w:rPr>
          <w:rFonts w:ascii="Source Serif 4" w:eastAsia="Source Serif 4" w:hAnsi="Source Serif 4" w:cs="Source Serif 4"/>
          <w:color w:val="231F20"/>
          <w:sz w:val="20"/>
          <w:szCs w:val="20"/>
        </w:rPr>
        <w:t>ти певну роль в ураженні дихальних шляхів [33].  Гістологічні дослідження демонструють, що при ЛАГ виявляється периваскулярне запа лення з інфільтрацією прозапальними кліти нами (Т-клітинами, В-клітинами та макрофа гами). Окрім того, в пацієнтів із ЛАГ вия</w:t>
      </w:r>
      <w:r>
        <w:rPr>
          <w:rFonts w:ascii="Source Serif 4" w:eastAsia="Source Serif 4" w:hAnsi="Source Serif 4" w:cs="Source Serif 4"/>
          <w:color w:val="231F20"/>
          <w:sz w:val="20"/>
          <w:szCs w:val="20"/>
        </w:rPr>
        <w:t xml:space="preserve">вляли </w:t>
      </w:r>
      <w:r>
        <w:rPr>
          <w:rFonts w:ascii="Source Serif 4" w:eastAsia="Source Serif 4" w:hAnsi="Source Serif 4" w:cs="Source Serif 4"/>
          <w:color w:val="231F20"/>
          <w:sz w:val="20"/>
          <w:szCs w:val="20"/>
        </w:rPr>
        <w:lastRenderedPageBreak/>
        <w:t>підвищений рівень різних інтерлейкінів та фактора некрозу клітин α [34, 35]. Ці клітини та сполуки, ймовірно, відіграють роль у ремо делюванні артерій, але вони можуть впливати і на дихальні шляхи [36]. Адже, перебуваючи в крові, вони легко потрапляю</w:t>
      </w:r>
      <w:r>
        <w:rPr>
          <w:rFonts w:ascii="Source Serif 4" w:eastAsia="Source Serif 4" w:hAnsi="Source Serif 4" w:cs="Source Serif 4"/>
          <w:color w:val="231F20"/>
          <w:sz w:val="20"/>
          <w:szCs w:val="20"/>
        </w:rPr>
        <w:t xml:space="preserve">ть у дихальні шляхи через збільшення проникнення стінок судин. Це може викликати запалення стінок дихальних шляхів з їх обструкцією [9]. </w:t>
      </w:r>
      <w:proofErr w:type="gramStart"/>
      <w:r>
        <w:rPr>
          <w:rFonts w:ascii="Source Serif 4" w:eastAsia="Source Serif 4" w:hAnsi="Source Serif 4" w:cs="Source Serif 4"/>
          <w:color w:val="231F20"/>
          <w:sz w:val="20"/>
          <w:szCs w:val="20"/>
        </w:rPr>
        <w:t>Друге,  ендотелін</w:t>
      </w:r>
      <w:proofErr w:type="gramEnd"/>
      <w:r>
        <w:rPr>
          <w:rFonts w:ascii="Source Serif 4" w:eastAsia="Source Serif 4" w:hAnsi="Source Serif 4" w:cs="Source Serif 4"/>
          <w:color w:val="231F20"/>
          <w:sz w:val="20"/>
          <w:szCs w:val="20"/>
        </w:rPr>
        <w:t>-1 – це потужний вазоконстриктор,  який є ключовим у ремоделюванні судини при ЛАГ, але він може виклик</w:t>
      </w:r>
      <w:r>
        <w:rPr>
          <w:rFonts w:ascii="Source Serif 4" w:eastAsia="Source Serif 4" w:hAnsi="Source Serif 4" w:cs="Source Serif 4"/>
          <w:color w:val="231F20"/>
          <w:sz w:val="20"/>
          <w:szCs w:val="20"/>
        </w:rPr>
        <w:t xml:space="preserve">ати також і брон хоконстрикцію [37]. Його знаходили у вмісті,  </w:t>
      </w:r>
    </w:p>
    <w:p w14:paraId="00000080" w14:textId="77777777" w:rsidR="005534B5" w:rsidRDefault="006C3692">
      <w:pPr>
        <w:widowControl w:val="0"/>
        <w:pBdr>
          <w:top w:val="nil"/>
          <w:left w:val="nil"/>
          <w:bottom w:val="nil"/>
          <w:right w:val="nil"/>
          <w:between w:val="nil"/>
        </w:pBdr>
        <w:spacing w:before="6" w:line="239" w:lineRule="auto"/>
        <w:ind w:left="104" w:right="91" w:hanging="2"/>
        <w:jc w:val="both"/>
        <w:rPr>
          <w:rFonts w:ascii="Source Serif 4" w:eastAsia="Source Serif 4" w:hAnsi="Source Serif 4" w:cs="Source Serif 4"/>
          <w:color w:val="231F20"/>
          <w:sz w:val="20"/>
          <w:szCs w:val="20"/>
        </w:rPr>
        <w:sectPr w:rsidR="005534B5">
          <w:type w:val="continuous"/>
          <w:pgSz w:w="12180" w:h="16440"/>
          <w:pgMar w:top="1170" w:right="1361" w:bottom="1145" w:left="1135" w:header="0" w:footer="720" w:gutter="0"/>
          <w:cols w:num="2" w:space="720" w:equalWidth="0">
            <w:col w:w="4860" w:space="0"/>
            <w:col w:w="4860" w:space="0"/>
          </w:cols>
        </w:sectPr>
      </w:pPr>
      <w:r>
        <w:rPr>
          <w:rFonts w:ascii="Source Serif 4" w:eastAsia="Source Serif 4" w:hAnsi="Source Serif 4" w:cs="Source Serif 4"/>
          <w:color w:val="231F20"/>
          <w:sz w:val="20"/>
          <w:szCs w:val="20"/>
        </w:rPr>
        <w:t xml:space="preserve">який був отриманий при бронхоальвеолярно му лаважі, в пацієнтів із хронічними обструк тивними захворюваннями легень та у великій </w:t>
      </w:r>
    </w:p>
    <w:p w14:paraId="00000081" w14:textId="77777777" w:rsidR="005534B5" w:rsidRDefault="006C3692">
      <w:pPr>
        <w:widowControl w:val="0"/>
        <w:pBdr>
          <w:top w:val="nil"/>
          <w:left w:val="nil"/>
          <w:bottom w:val="nil"/>
          <w:right w:val="nil"/>
          <w:between w:val="nil"/>
        </w:pBdr>
        <w:spacing w:line="240" w:lineRule="auto"/>
        <w:ind w:right="379"/>
        <w:jc w:val="right"/>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rPr>
        <w:lastRenderedPageBreak/>
        <w:t xml:space="preserve">60 </w:t>
      </w:r>
      <w:r>
        <w:rPr>
          <w:color w:val="005769"/>
          <w:sz w:val="23"/>
          <w:szCs w:val="23"/>
          <w:vertAlign w:val="superscript"/>
        </w:rPr>
        <w:t>Кардіо</w:t>
      </w:r>
      <w:r>
        <w:rPr>
          <w:color w:val="005769"/>
          <w:sz w:val="23"/>
          <w:szCs w:val="23"/>
          <w:vertAlign w:val="superscript"/>
        </w:rPr>
        <w:t>хірургія та інтервенційна кардіологія. 2024; Том 13, № 3 С.О. Прогонов та співавт.</w:t>
      </w:r>
      <w:r>
        <w:rPr>
          <w:color w:val="005769"/>
          <w:sz w:val="14"/>
          <w:szCs w:val="14"/>
        </w:rPr>
        <w:t xml:space="preserve"> </w:t>
      </w:r>
    </w:p>
    <w:p w14:paraId="00000082" w14:textId="77777777" w:rsidR="005534B5" w:rsidRDefault="006C3692">
      <w:pPr>
        <w:widowControl w:val="0"/>
        <w:pBdr>
          <w:top w:val="nil"/>
          <w:left w:val="nil"/>
          <w:bottom w:val="nil"/>
          <w:right w:val="nil"/>
          <w:between w:val="nil"/>
        </w:pBdr>
        <w:spacing w:before="320" w:line="240" w:lineRule="auto"/>
        <w:rPr>
          <w:color w:val="FFFFFF"/>
          <w:sz w:val="18"/>
          <w:szCs w:val="18"/>
        </w:rPr>
      </w:pPr>
      <w:r>
        <w:rPr>
          <w:color w:val="FFFFFF"/>
          <w:sz w:val="30"/>
          <w:szCs w:val="30"/>
          <w:vertAlign w:val="subscript"/>
        </w:rPr>
        <w:lastRenderedPageBreak/>
        <w:t>ОРИГІНАЛЬНІ</w:t>
      </w:r>
      <w:r>
        <w:rPr>
          <w:color w:val="FFFFFF"/>
          <w:sz w:val="18"/>
          <w:szCs w:val="18"/>
        </w:rPr>
        <w:t xml:space="preserve">  </w:t>
      </w:r>
    </w:p>
    <w:p w14:paraId="00000083" w14:textId="77777777" w:rsidR="005534B5" w:rsidRDefault="006C3692">
      <w:pPr>
        <w:widowControl w:val="0"/>
        <w:pBdr>
          <w:top w:val="nil"/>
          <w:left w:val="nil"/>
          <w:bottom w:val="nil"/>
          <w:right w:val="nil"/>
          <w:between w:val="nil"/>
        </w:pBdr>
        <w:spacing w:line="240" w:lineRule="auto"/>
        <w:jc w:val="right"/>
        <w:rPr>
          <w:rFonts w:ascii="Source Serif 4" w:eastAsia="Source Serif 4" w:hAnsi="Source Serif 4" w:cs="Source Serif 4"/>
          <w:color w:val="231F20"/>
          <w:sz w:val="20"/>
          <w:szCs w:val="20"/>
        </w:rPr>
      </w:pPr>
      <w:r>
        <w:rPr>
          <w:color w:val="FFFFFF"/>
          <w:sz w:val="30"/>
          <w:szCs w:val="30"/>
          <w:vertAlign w:val="subscript"/>
        </w:rPr>
        <w:t>ДОСЛІДЖЕНН</w:t>
      </w:r>
      <w:r>
        <w:rPr>
          <w:color w:val="FFFFFF"/>
          <w:sz w:val="30"/>
          <w:szCs w:val="30"/>
          <w:vertAlign w:val="superscript"/>
        </w:rPr>
        <w:t>Я</w:t>
      </w:r>
      <w:r>
        <w:rPr>
          <w:rFonts w:ascii="Source Serif 4" w:eastAsia="Source Serif 4" w:hAnsi="Source Serif 4" w:cs="Source Serif 4"/>
          <w:color w:val="231F20"/>
          <w:sz w:val="20"/>
          <w:szCs w:val="20"/>
        </w:rPr>
        <w:t xml:space="preserve">кількості – при кістозному фіброзі. Третє, при </w:t>
      </w:r>
    </w:p>
    <w:p w14:paraId="00000084" w14:textId="77777777" w:rsidR="005534B5" w:rsidRDefault="006C3692">
      <w:pPr>
        <w:widowControl w:val="0"/>
        <w:pBdr>
          <w:top w:val="nil"/>
          <w:left w:val="nil"/>
          <w:bottom w:val="nil"/>
          <w:right w:val="nil"/>
          <w:between w:val="nil"/>
        </w:pBdr>
        <w:spacing w:line="239" w:lineRule="auto"/>
        <w:ind w:left="632" w:hanging="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ЛАГ спостерігається зниження продукції та вмісту оксиду азоту, який сприяє бронходила тації. Відповідно, брак оксиду азоту зменшує можливості розширення бронхів, особливо, у відповідь на фізичне навантаження. Четверте,  </w:t>
      </w:r>
    </w:p>
    <w:p w14:paraId="00000085" w14:textId="77777777" w:rsidR="005534B5" w:rsidRDefault="006C3692">
      <w:pPr>
        <w:widowControl w:val="0"/>
        <w:pBdr>
          <w:top w:val="nil"/>
          <w:left w:val="nil"/>
          <w:bottom w:val="nil"/>
          <w:right w:val="nil"/>
          <w:between w:val="nil"/>
        </w:pBdr>
        <w:spacing w:before="6" w:line="239" w:lineRule="auto"/>
        <w:ind w:left="634" w:hanging="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згідно з рефлексом Ейлера – Лільєстранда від бувається спазмування бронхів при локаль ному погіршанні кровоплину в альвеолах для кращої вентиляції тих ділянок, які мають кращу перфузію. </w:t>
      </w:r>
    </w:p>
    <w:p w14:paraId="00000086" w14:textId="77777777" w:rsidR="005534B5" w:rsidRDefault="006C3692">
      <w:pPr>
        <w:widowControl w:val="0"/>
        <w:pBdr>
          <w:top w:val="nil"/>
          <w:left w:val="nil"/>
          <w:bottom w:val="nil"/>
          <w:right w:val="nil"/>
          <w:between w:val="nil"/>
        </w:pBdr>
        <w:spacing w:before="6" w:line="239" w:lineRule="auto"/>
        <w:ind w:left="629" w:firstLine="290"/>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Однак існують протилежні результати щодо порушення ФЗД у пацієнтів із</w:t>
      </w:r>
      <w:r>
        <w:rPr>
          <w:rFonts w:ascii="Source Serif 4" w:eastAsia="Source Serif 4" w:hAnsi="Source Serif 4" w:cs="Source Serif 4"/>
          <w:color w:val="231F20"/>
          <w:sz w:val="20"/>
          <w:szCs w:val="20"/>
        </w:rPr>
        <w:t xml:space="preserve"> ЛАГ. Навіть стверджується, що якщо функція дихальних шляхів порушена, то тоді така ЛГ має класи фікуватися як повʼязана із захворюваннями легень [2, 5]. У дослідженні V. Arunthari та співавторів не спостерігалося кореляції між показниками ФЗД та гемодинам</w:t>
      </w:r>
      <w:r>
        <w:rPr>
          <w:rFonts w:ascii="Source Serif 4" w:eastAsia="Source Serif 4" w:hAnsi="Source Serif 4" w:cs="Source Serif 4"/>
          <w:color w:val="231F20"/>
          <w:sz w:val="20"/>
          <w:szCs w:val="20"/>
        </w:rPr>
        <w:t>іки [38]. Деякі автори пояснюють розбіжності в результатах оцінки ФЗД при ЛАГ тим, що зазвичай дані порушення дихання спостерігаються в брон хах малого діаметра [9]. Тому в стані спокою вони можуть і не виявлятися при звичайній спірометрії, але при фізично</w:t>
      </w:r>
      <w:r>
        <w:rPr>
          <w:rFonts w:ascii="Source Serif 4" w:eastAsia="Source Serif 4" w:hAnsi="Source Serif 4" w:cs="Source Serif 4"/>
          <w:color w:val="231F20"/>
          <w:sz w:val="20"/>
          <w:szCs w:val="20"/>
        </w:rPr>
        <w:t xml:space="preserve">му навантаженні це може погіршити ситуацію з диханням та сприяти зниженню </w:t>
      </w:r>
      <w:r>
        <w:rPr>
          <w:rFonts w:ascii="Source Serif 4" w:eastAsia="Source Serif 4" w:hAnsi="Source Serif 4" w:cs="Source Serif 4"/>
          <w:color w:val="231F20"/>
          <w:sz w:val="20"/>
          <w:szCs w:val="20"/>
        </w:rPr>
        <w:lastRenderedPageBreak/>
        <w:t xml:space="preserve">толерантності до фізично го навантаження. Перспективними вважають ся дослідження з оцінювання можливостей бронходилататорів поліпшувати цю симпто матику у хворих із ЛАГ або ХТЕЛГ. </w:t>
      </w:r>
    </w:p>
    <w:p w14:paraId="00000087" w14:textId="77777777" w:rsidR="005534B5" w:rsidRDefault="006C3692">
      <w:pPr>
        <w:widowControl w:val="0"/>
        <w:pBdr>
          <w:top w:val="nil"/>
          <w:left w:val="nil"/>
          <w:bottom w:val="nil"/>
          <w:right w:val="nil"/>
          <w:between w:val="nil"/>
        </w:pBdr>
        <w:spacing w:before="6" w:line="239" w:lineRule="auto"/>
        <w:ind w:left="632" w:firstLine="280"/>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У</w:t>
      </w:r>
      <w:r>
        <w:rPr>
          <w:rFonts w:ascii="Source Serif 4" w:eastAsia="Source Serif 4" w:hAnsi="Source Serif 4" w:cs="Source Serif 4"/>
          <w:color w:val="231F20"/>
          <w:sz w:val="20"/>
          <w:szCs w:val="20"/>
        </w:rPr>
        <w:t xml:space="preserve"> пацієнтів із ЛАГ-ВВС спостерігалися най гірші показники ФЗД, що збігається з результа тами інших досліджень [9, 39]. Це пояснюється згаданими вище механізмами, але існують ще й додаткові фактори. Так, дуже часто в паці єнтів із ВВС спостерігається деформа</w:t>
      </w:r>
      <w:r>
        <w:rPr>
          <w:rFonts w:ascii="Source Serif 4" w:eastAsia="Source Serif 4" w:hAnsi="Source Serif 4" w:cs="Source Serif 4"/>
          <w:color w:val="231F20"/>
          <w:sz w:val="20"/>
          <w:szCs w:val="20"/>
        </w:rPr>
        <w:t xml:space="preserve">ція груд ної клітки та в анамнезі є часті респіраторні захворювання, зокрема хронічні. Саме </w:t>
      </w:r>
      <w:proofErr w:type="gramStart"/>
      <w:r>
        <w:rPr>
          <w:rFonts w:ascii="Source Serif 4" w:eastAsia="Source Serif 4" w:hAnsi="Source Serif 4" w:cs="Source Serif 4"/>
          <w:color w:val="231F20"/>
          <w:sz w:val="20"/>
          <w:szCs w:val="20"/>
        </w:rPr>
        <w:t>тому,  мабуть</w:t>
      </w:r>
      <w:proofErr w:type="gramEnd"/>
      <w:r>
        <w:rPr>
          <w:rFonts w:ascii="Source Serif 4" w:eastAsia="Source Serif 4" w:hAnsi="Source Serif 4" w:cs="Source Serif 4"/>
          <w:color w:val="231F20"/>
          <w:sz w:val="20"/>
          <w:szCs w:val="20"/>
        </w:rPr>
        <w:t xml:space="preserve">, і спостерігалася статистично значуща й незалежна кореляція ОВФ1 із наявністю ВВС.  </w:t>
      </w:r>
    </w:p>
    <w:p w14:paraId="00000088" w14:textId="77777777" w:rsidR="005534B5" w:rsidRDefault="006C3692">
      <w:pPr>
        <w:widowControl w:val="0"/>
        <w:pBdr>
          <w:top w:val="nil"/>
          <w:left w:val="nil"/>
          <w:bottom w:val="nil"/>
          <w:right w:val="nil"/>
          <w:between w:val="nil"/>
        </w:pBdr>
        <w:spacing w:before="6" w:line="239" w:lineRule="auto"/>
        <w:ind w:left="630" w:firstLine="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За даними літератури, рестриктивні пору шення дихальної функції в таких пацієнтів також можуть бути зумовлені перенесени ми кардіохірургічними втручаннями [10], але жоден із обстежених нами пацієнтів не мав у анамнезі хірургічної корекції вади.  </w:t>
      </w:r>
    </w:p>
    <w:p w14:paraId="00000089" w14:textId="77777777" w:rsidR="005534B5" w:rsidRDefault="006C3692">
      <w:pPr>
        <w:widowControl w:val="0"/>
        <w:pBdr>
          <w:top w:val="nil"/>
          <w:left w:val="nil"/>
          <w:bottom w:val="nil"/>
          <w:right w:val="nil"/>
          <w:between w:val="nil"/>
        </w:pBdr>
        <w:spacing w:before="6" w:line="239" w:lineRule="auto"/>
        <w:ind w:left="632" w:firstLine="286"/>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Не зовсім</w:t>
      </w:r>
      <w:r>
        <w:rPr>
          <w:rFonts w:ascii="Source Serif 4" w:eastAsia="Source Serif 4" w:hAnsi="Source Serif 4" w:cs="Source Serif 4"/>
          <w:color w:val="231F20"/>
          <w:sz w:val="20"/>
          <w:szCs w:val="20"/>
        </w:rPr>
        <w:t xml:space="preserve"> зрозумілою залишається виявле на нами незалежна кореляція між ЖЄЛ та роз міром ПП. Збільшення площі ПП може залежа ти від ступеня підвищення тиску в ЛА, розміру та варіанта внутрішньосерцевого шунта, сту пеня та характеру недостатності тристулко вого клап</w:t>
      </w:r>
      <w:r>
        <w:rPr>
          <w:rFonts w:ascii="Source Serif 4" w:eastAsia="Source Serif 4" w:hAnsi="Source Serif 4" w:cs="Source Serif 4"/>
          <w:color w:val="231F20"/>
          <w:sz w:val="20"/>
          <w:szCs w:val="20"/>
        </w:rPr>
        <w:t xml:space="preserve">ана тощо. Необхідні подальші дослі дження для інтерпретації отриманих даних. </w:t>
      </w:r>
    </w:p>
    <w:p w14:paraId="0000008A" w14:textId="77777777" w:rsidR="005534B5" w:rsidRDefault="006C3692">
      <w:pPr>
        <w:widowControl w:val="0"/>
        <w:pBdr>
          <w:top w:val="nil"/>
          <w:left w:val="nil"/>
          <w:bottom w:val="nil"/>
          <w:right w:val="nil"/>
          <w:between w:val="nil"/>
        </w:pBdr>
        <w:spacing w:before="132" w:line="239" w:lineRule="auto"/>
        <w:ind w:left="435" w:right="8" w:firstLine="283"/>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Зниження ДЗЛМВ рано чи пізно спостері галося у всіх пацієнтів із ЛГ. Це зумовлено сукупністю різних механізмів: ремоделюван ням артерій малого діаметра та їх мікротром буванням з</w:t>
      </w:r>
      <w:r>
        <w:rPr>
          <w:rFonts w:ascii="Source Serif 4" w:eastAsia="Source Serif 4" w:hAnsi="Source Serif 4" w:cs="Source Serif 4"/>
          <w:color w:val="231F20"/>
          <w:sz w:val="20"/>
          <w:szCs w:val="20"/>
        </w:rPr>
        <w:t xml:space="preserve">і звуженням або обструкцією,  </w:t>
      </w:r>
    </w:p>
    <w:p w14:paraId="0000008B" w14:textId="77777777" w:rsidR="005534B5" w:rsidRDefault="006C3692">
      <w:pPr>
        <w:widowControl w:val="0"/>
        <w:pBdr>
          <w:top w:val="nil"/>
          <w:left w:val="nil"/>
          <w:bottom w:val="nil"/>
          <w:right w:val="nil"/>
          <w:between w:val="nil"/>
        </w:pBdr>
        <w:spacing w:before="6" w:line="237" w:lineRule="auto"/>
        <w:ind w:left="429" w:right="57" w:firstLine="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дисфункцією ендотелію капілярів зі зміною проникності і розвитком набряку, формуван ням пульмо-бронхіальних шунтів, наявністю внутрішньосерцевих шунтів. Найгірші показ ники спостерігалися при ХТЕЛГ, що загалом зіставне з результатами раніше проведених досл</w:t>
      </w:r>
      <w:r>
        <w:rPr>
          <w:rFonts w:ascii="Source Serif 4" w:eastAsia="Source Serif 4" w:hAnsi="Source Serif 4" w:cs="Source Serif 4"/>
          <w:color w:val="231F20"/>
          <w:sz w:val="20"/>
          <w:szCs w:val="20"/>
        </w:rPr>
        <w:t xml:space="preserve">іджень за участю пацієнтів цієї групи ЛГ [10]. Це пояснюється більш вираженими порушеннями кровопостачання внаслідок обструкції легеневих судин тромботичними масами. У нашому дослідженні пацієнти з ДЗЛМВ </w:t>
      </w:r>
      <w:proofErr w:type="gramStart"/>
      <w:r>
        <w:rPr>
          <w:rFonts w:ascii="Source Serif 4" w:eastAsia="Source Serif 4" w:hAnsi="Source Serif 4" w:cs="Source Serif 4"/>
          <w:color w:val="231F20"/>
          <w:sz w:val="20"/>
          <w:szCs w:val="20"/>
        </w:rPr>
        <w:t>&lt;  64</w:t>
      </w:r>
      <w:proofErr w:type="gramEnd"/>
      <w:r>
        <w:rPr>
          <w:rFonts w:ascii="Source Serif 4" w:eastAsia="Source Serif 4" w:hAnsi="Source Serif 4" w:cs="Source Serif 4"/>
          <w:color w:val="231F20"/>
          <w:sz w:val="20"/>
          <w:szCs w:val="20"/>
        </w:rPr>
        <w:t xml:space="preserve"> % порівняно з ДЗЛМВ ≥ 64 % мали статистично зн</w:t>
      </w:r>
      <w:r>
        <w:rPr>
          <w:rFonts w:ascii="Source Serif 4" w:eastAsia="Source Serif 4" w:hAnsi="Source Serif 4" w:cs="Source Serif 4"/>
          <w:color w:val="231F20"/>
          <w:sz w:val="20"/>
          <w:szCs w:val="20"/>
        </w:rPr>
        <w:t>ачущо гірший функці ональний стан (менша дистанція 6-ХТ, біль ший рівень N-КМНУП, менша SaО</w:t>
      </w:r>
      <w:r>
        <w:rPr>
          <w:rFonts w:ascii="Source Serif 4" w:eastAsia="Source Serif 4" w:hAnsi="Source Serif 4" w:cs="Source Serif 4"/>
          <w:color w:val="231F20"/>
          <w:sz w:val="23"/>
          <w:szCs w:val="23"/>
          <w:vertAlign w:val="subscript"/>
        </w:rPr>
        <w:t>2</w:t>
      </w:r>
      <w:r>
        <w:rPr>
          <w:rFonts w:ascii="Source Serif 4" w:eastAsia="Source Serif 4" w:hAnsi="Source Serif 4" w:cs="Source Serif 4"/>
          <w:color w:val="231F20"/>
          <w:sz w:val="20"/>
          <w:szCs w:val="20"/>
        </w:rPr>
        <w:t>) та гірший показник функції ПШ (TAPSE). Також, як і слід було очікувати, хворі з низькою ДЗЛМВ мали нижчий рівень гемоглобіну, адже рівень гемоглобіну визначає кількість кисню, що потрапляє в еритроцити. Окрім того, в них спостерігалася тенденція до нижчи</w:t>
      </w:r>
      <w:r>
        <w:rPr>
          <w:rFonts w:ascii="Source Serif 4" w:eastAsia="Source Serif 4" w:hAnsi="Source Serif 4" w:cs="Source Serif 4"/>
          <w:color w:val="231F20"/>
          <w:sz w:val="20"/>
          <w:szCs w:val="20"/>
        </w:rPr>
        <w:t xml:space="preserve">х ХОК та СІ. Пацієнти були дещо старшими. </w:t>
      </w:r>
    </w:p>
    <w:p w14:paraId="0000008C" w14:textId="77777777" w:rsidR="005534B5" w:rsidRDefault="006C3692">
      <w:pPr>
        <w:widowControl w:val="0"/>
        <w:pBdr>
          <w:top w:val="nil"/>
          <w:left w:val="nil"/>
          <w:bottom w:val="nil"/>
          <w:right w:val="nil"/>
          <w:between w:val="nil"/>
        </w:pBdr>
        <w:spacing w:before="7" w:line="236" w:lineRule="auto"/>
        <w:ind w:left="429" w:right="8" w:firstLine="288"/>
        <w:jc w:val="both"/>
        <w:rPr>
          <w:rFonts w:ascii="Source Serif 4" w:eastAsia="Source Serif 4" w:hAnsi="Source Serif 4" w:cs="Source Serif 4"/>
          <w:color w:val="231F20"/>
          <w:sz w:val="20"/>
          <w:szCs w:val="20"/>
        </w:rPr>
        <w:sectPr w:rsidR="005534B5">
          <w:type w:val="continuous"/>
          <w:pgSz w:w="12180" w:h="16440"/>
          <w:pgMar w:top="1170" w:right="1077" w:bottom="1145" w:left="790" w:header="0" w:footer="720" w:gutter="0"/>
          <w:cols w:num="2" w:space="720" w:equalWidth="0">
            <w:col w:w="5160" w:space="0"/>
            <w:col w:w="5160" w:space="0"/>
          </w:cols>
        </w:sectPr>
      </w:pPr>
      <w:r>
        <w:rPr>
          <w:rFonts w:ascii="Source Serif 4" w:eastAsia="Source Serif 4" w:hAnsi="Source Serif 4" w:cs="Source Serif 4"/>
          <w:color w:val="231F20"/>
          <w:sz w:val="20"/>
          <w:szCs w:val="20"/>
        </w:rPr>
        <w:t xml:space="preserve">Кореляційний аналіз за Спірменом пока зав, </w:t>
      </w:r>
      <w:r>
        <w:rPr>
          <w:rFonts w:ascii="Source Serif 4" w:eastAsia="Source Serif 4" w:hAnsi="Source Serif 4" w:cs="Source Serif 4"/>
          <w:color w:val="231F20"/>
          <w:sz w:val="20"/>
          <w:szCs w:val="20"/>
        </w:rPr>
        <w:lastRenderedPageBreak/>
        <w:t>що низька ДЗЛМВ (&lt; 64 %) статистично значущо зворотно корелювала з рівнем гемо глобіну, дистанцією 6-ХТ, SaО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20"/>
          <w:szCs w:val="20"/>
        </w:rPr>
        <w:t>та TAPSE, але прямо асоціювала</w:t>
      </w:r>
      <w:r>
        <w:rPr>
          <w:rFonts w:ascii="Source Serif 4" w:eastAsia="Source Serif 4" w:hAnsi="Source Serif 4" w:cs="Source Serif 4"/>
          <w:color w:val="231F20"/>
          <w:sz w:val="20"/>
          <w:szCs w:val="20"/>
        </w:rPr>
        <w:t xml:space="preserve">ся з рівнем N-КМНУП. Ці дані узгоджуються з результатами інших спо стережень. Так, у дослідженні M. </w:t>
      </w:r>
      <w:proofErr w:type="gramStart"/>
      <w:r>
        <w:rPr>
          <w:rFonts w:ascii="Source Serif 4" w:eastAsia="Source Serif 4" w:hAnsi="Source Serif 4" w:cs="Source Serif 4"/>
          <w:color w:val="231F20"/>
          <w:sz w:val="20"/>
          <w:szCs w:val="20"/>
        </w:rPr>
        <w:t>Szturmowicz  і</w:t>
      </w:r>
      <w:proofErr w:type="gramEnd"/>
      <w:r>
        <w:rPr>
          <w:rFonts w:ascii="Source Serif 4" w:eastAsia="Source Serif 4" w:hAnsi="Source Serif 4" w:cs="Source Serif 4"/>
          <w:color w:val="231F20"/>
          <w:sz w:val="20"/>
          <w:szCs w:val="20"/>
        </w:rPr>
        <w:t xml:space="preserve"> співавторів спостерігалась кореляція ДЗЛМВ &lt;  55 % з віком, чоловічою статтю, функціо нальним класом та коротшою дистанцією 6-ХТ [25]. Попри </w:t>
      </w:r>
      <w:r>
        <w:rPr>
          <w:rFonts w:ascii="Source Serif 4" w:eastAsia="Source Serif 4" w:hAnsi="Source Serif 4" w:cs="Source Serif 4"/>
          <w:color w:val="231F20"/>
          <w:sz w:val="20"/>
          <w:szCs w:val="20"/>
        </w:rPr>
        <w:t>те, що в основі патогене зу зниження дифузійної здатності легень лежить порушення гемодинаміки, ми не виявили статистично значущих кореляцій них звʼязків між параметрами, отриманими при КПС, та ДЗЛМВ. В іншому дослідженні V. Arunthari і співавтори також не</w:t>
      </w:r>
      <w:r>
        <w:rPr>
          <w:rFonts w:ascii="Source Serif 4" w:eastAsia="Source Serif 4" w:hAnsi="Source Serif 4" w:cs="Source Serif 4"/>
          <w:color w:val="231F20"/>
          <w:sz w:val="20"/>
          <w:szCs w:val="20"/>
        </w:rPr>
        <w:t xml:space="preserve"> спостері гали цієї кореляції [38]. Автори пояснювали це обмеженням дослідження, коли оцінка функції дихання та КПС проводилася в різні дні та тим, що вони обстежували тяжку кате горію пацієнтів із супутньою патологією. При проведенні багатофакторного регр</w:t>
      </w:r>
      <w:r>
        <w:rPr>
          <w:rFonts w:ascii="Source Serif 4" w:eastAsia="Source Serif 4" w:hAnsi="Source Serif 4" w:cs="Source Serif 4"/>
          <w:color w:val="231F20"/>
          <w:sz w:val="20"/>
          <w:szCs w:val="20"/>
        </w:rPr>
        <w:t>есійного аналізу незалежним предиктором зниженої ДЗЛМВ разом із рівнями гемоглобіну та SaО</w:t>
      </w:r>
      <w:r>
        <w:rPr>
          <w:rFonts w:ascii="Source Serif 4" w:eastAsia="Source Serif 4" w:hAnsi="Source Serif 4" w:cs="Source Serif 4"/>
          <w:color w:val="231F20"/>
          <w:sz w:val="23"/>
          <w:szCs w:val="23"/>
          <w:vertAlign w:val="subscript"/>
        </w:rPr>
        <w:t>2</w:t>
      </w:r>
      <w:r>
        <w:rPr>
          <w:rFonts w:ascii="Source Serif 4" w:eastAsia="Source Serif 4" w:hAnsi="Source Serif 4" w:cs="Source Serif 4"/>
          <w:color w:val="231F20"/>
          <w:sz w:val="14"/>
          <w:szCs w:val="14"/>
        </w:rPr>
        <w:t xml:space="preserve"> </w:t>
      </w:r>
      <w:r>
        <w:rPr>
          <w:rFonts w:ascii="Source Serif 4" w:eastAsia="Source Serif 4" w:hAnsi="Source Serif 4" w:cs="Source Serif 4"/>
          <w:color w:val="231F20"/>
          <w:sz w:val="20"/>
          <w:szCs w:val="20"/>
        </w:rPr>
        <w:t>був TAPSE, який відображає функцію ПШ і є,  можливо, показником, який не так динаміч но змінюється, як ХОК або ОЛС.</w:t>
      </w:r>
    </w:p>
    <w:p w14:paraId="0000008D" w14:textId="77777777" w:rsidR="005534B5" w:rsidRDefault="006C3692">
      <w:pPr>
        <w:widowControl w:val="0"/>
        <w:pBdr>
          <w:top w:val="nil"/>
          <w:left w:val="nil"/>
          <w:bottom w:val="nil"/>
          <w:right w:val="nil"/>
          <w:between w:val="nil"/>
        </w:pBdr>
        <w:spacing w:line="240" w:lineRule="auto"/>
        <w:ind w:left="343"/>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sz w:val="36"/>
          <w:szCs w:val="36"/>
          <w:vertAlign w:val="subscript"/>
        </w:rPr>
        <w:lastRenderedPageBreak/>
        <w:t>61</w:t>
      </w:r>
      <w:r>
        <w:rPr>
          <w:color w:val="231F20"/>
        </w:rPr>
        <w:t xml:space="preserve"> </w:t>
      </w:r>
      <w:r>
        <w:rPr>
          <w:color w:val="005769"/>
          <w:sz w:val="14"/>
          <w:szCs w:val="14"/>
        </w:rPr>
        <w:t>С.О. Прогонов та співа</w:t>
      </w:r>
      <w:r>
        <w:rPr>
          <w:color w:val="005769"/>
          <w:sz w:val="14"/>
          <w:szCs w:val="14"/>
        </w:rPr>
        <w:t xml:space="preserve">вт. Кардіохірургія та інтервенційна кардіологія. 2024; Том 13, № 3 </w:t>
      </w:r>
    </w:p>
    <w:p w14:paraId="0000008E" w14:textId="77777777" w:rsidR="005534B5" w:rsidRDefault="006C3692">
      <w:pPr>
        <w:widowControl w:val="0"/>
        <w:pBdr>
          <w:top w:val="nil"/>
          <w:left w:val="nil"/>
          <w:bottom w:val="nil"/>
          <w:right w:val="nil"/>
          <w:between w:val="nil"/>
        </w:pBdr>
        <w:spacing w:before="442" w:line="239" w:lineRule="auto"/>
        <w:ind w:right="437" w:firstLine="285"/>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lastRenderedPageBreak/>
        <w:t>Додатковим фактором, який міг вплинути на зниження ДЗЛМВ, є куріння, яке викли кає специфічне ураження легень, що може не проявляти себе клінічно, але викликає суттє ве погіршання газообміну. Куріння, а також вплив токсичних хімічних факторів, згідно з при</w:t>
      </w:r>
      <w:r>
        <w:rPr>
          <w:rFonts w:ascii="Source Serif 4" w:eastAsia="Source Serif 4" w:hAnsi="Source Serif 4" w:cs="Source Serif 4"/>
          <w:color w:val="231F20"/>
          <w:sz w:val="20"/>
          <w:szCs w:val="20"/>
        </w:rPr>
        <w:t>пущеннями деяких дослідників, можуть бути причиною так званого «зникаючого</w:t>
      </w:r>
      <w:proofErr w:type="gramStart"/>
      <w:r>
        <w:rPr>
          <w:rFonts w:ascii="Source Serif 4" w:eastAsia="Source Serif 4" w:hAnsi="Source Serif 4" w:cs="Source Serif 4"/>
          <w:color w:val="231F20"/>
          <w:sz w:val="20"/>
          <w:szCs w:val="20"/>
        </w:rPr>
        <w:t>»  легеневого</w:t>
      </w:r>
      <w:proofErr w:type="gramEnd"/>
      <w:r>
        <w:rPr>
          <w:rFonts w:ascii="Source Serif 4" w:eastAsia="Source Serif 4" w:hAnsi="Source Serif 4" w:cs="Source Serif 4"/>
          <w:color w:val="231F20"/>
          <w:sz w:val="20"/>
          <w:szCs w:val="20"/>
        </w:rPr>
        <w:t xml:space="preserve"> капілярного синдрому [40], який через потовщення чи іншу патологічну видо зміну альвеоло-капілярної мембрани може спричиняти зниження ДЗМВ. Але частка кур ців у нашому </w:t>
      </w:r>
      <w:r>
        <w:rPr>
          <w:rFonts w:ascii="Source Serif 4" w:eastAsia="Source Serif 4" w:hAnsi="Source Serif 4" w:cs="Source Serif 4"/>
          <w:color w:val="231F20"/>
          <w:sz w:val="20"/>
          <w:szCs w:val="20"/>
        </w:rPr>
        <w:t xml:space="preserve">дослідженні становила лише 12,3 %. І до того ж групи із ДЗЛМВ &lt; або ≥ 64 </w:t>
      </w:r>
      <w:proofErr w:type="gramStart"/>
      <w:r>
        <w:rPr>
          <w:rFonts w:ascii="Source Serif 4" w:eastAsia="Source Serif 4" w:hAnsi="Source Serif 4" w:cs="Source Serif 4"/>
          <w:color w:val="231F20"/>
          <w:sz w:val="20"/>
          <w:szCs w:val="20"/>
        </w:rPr>
        <w:t>%  статистично</w:t>
      </w:r>
      <w:proofErr w:type="gramEnd"/>
      <w:r>
        <w:rPr>
          <w:rFonts w:ascii="Source Serif 4" w:eastAsia="Source Serif 4" w:hAnsi="Source Serif 4" w:cs="Source Serif 4"/>
          <w:color w:val="231F20"/>
          <w:sz w:val="20"/>
          <w:szCs w:val="20"/>
        </w:rPr>
        <w:t xml:space="preserve"> значущо не відрізнялися за част кою пацієнтів, які мали в анамнезі куріння.  </w:t>
      </w:r>
    </w:p>
    <w:p w14:paraId="0000008F" w14:textId="77777777" w:rsidR="005534B5" w:rsidRDefault="006C3692">
      <w:pPr>
        <w:widowControl w:val="0"/>
        <w:pBdr>
          <w:top w:val="nil"/>
          <w:left w:val="nil"/>
          <w:bottom w:val="nil"/>
          <w:right w:val="nil"/>
          <w:between w:val="nil"/>
        </w:pBdr>
        <w:spacing w:before="298" w:line="240" w:lineRule="auto"/>
        <w:ind w:left="13"/>
        <w:rPr>
          <w:b/>
          <w:color w:val="005769"/>
          <w:sz w:val="24"/>
          <w:szCs w:val="24"/>
        </w:rPr>
      </w:pPr>
      <w:r>
        <w:rPr>
          <w:b/>
          <w:color w:val="005769"/>
          <w:sz w:val="24"/>
          <w:szCs w:val="24"/>
        </w:rPr>
        <w:t xml:space="preserve">Висновки </w:t>
      </w:r>
    </w:p>
    <w:p w14:paraId="00000090" w14:textId="77777777" w:rsidR="005534B5" w:rsidRDefault="006C3692">
      <w:pPr>
        <w:widowControl w:val="0"/>
        <w:pBdr>
          <w:top w:val="nil"/>
          <w:left w:val="nil"/>
          <w:bottom w:val="nil"/>
          <w:right w:val="nil"/>
          <w:between w:val="nil"/>
        </w:pBdr>
        <w:spacing w:before="147" w:line="239" w:lineRule="auto"/>
        <w:ind w:left="3" w:right="491" w:firstLine="294"/>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1. Усі досліджувані форми легеневої гіпер </w:t>
      </w:r>
      <w:r>
        <w:rPr>
          <w:rFonts w:ascii="Source Serif 4" w:eastAsia="Source Serif 4" w:hAnsi="Source Serif 4" w:cs="Source Serif 4"/>
          <w:color w:val="231F20"/>
          <w:sz w:val="20"/>
          <w:szCs w:val="20"/>
        </w:rPr>
        <w:lastRenderedPageBreak/>
        <w:t>тензії за відсутності попередньо діагн</w:t>
      </w:r>
      <w:r>
        <w:rPr>
          <w:rFonts w:ascii="Source Serif 4" w:eastAsia="Source Serif 4" w:hAnsi="Source Serif 4" w:cs="Source Serif 4"/>
          <w:color w:val="231F20"/>
          <w:sz w:val="20"/>
          <w:szCs w:val="20"/>
        </w:rPr>
        <w:t xml:space="preserve">остова ного захворювання легень мали статистично значущо нижчі показники функції зовніш нього дихання та дифузійної здатності легень </w:t>
      </w:r>
    </w:p>
    <w:p w14:paraId="00000091" w14:textId="77777777" w:rsidR="005534B5" w:rsidRDefault="006C3692">
      <w:pPr>
        <w:widowControl w:val="0"/>
        <w:pBdr>
          <w:top w:val="nil"/>
          <w:left w:val="nil"/>
          <w:bottom w:val="nil"/>
          <w:right w:val="nil"/>
          <w:between w:val="nil"/>
        </w:pBdr>
        <w:spacing w:before="465" w:line="240" w:lineRule="auto"/>
        <w:ind w:left="282"/>
        <w:rPr>
          <w:rFonts w:ascii="Source Serif 4" w:eastAsia="Source Serif 4" w:hAnsi="Source Serif 4" w:cs="Source Serif 4"/>
          <w:i/>
          <w:color w:val="231F20"/>
          <w:sz w:val="19"/>
          <w:szCs w:val="19"/>
        </w:rPr>
      </w:pPr>
      <w:r>
        <w:rPr>
          <w:rFonts w:ascii="Source Serif 4" w:eastAsia="Source Serif 4" w:hAnsi="Source Serif 4" w:cs="Source Serif 4"/>
          <w:i/>
          <w:color w:val="231F20"/>
          <w:sz w:val="19"/>
          <w:szCs w:val="19"/>
        </w:rPr>
        <w:t xml:space="preserve">Конфлікту інтересів немає. </w:t>
      </w:r>
    </w:p>
    <w:p w14:paraId="00000092" w14:textId="77777777" w:rsidR="005534B5" w:rsidRDefault="006C3692">
      <w:pPr>
        <w:widowControl w:val="0"/>
        <w:pBdr>
          <w:top w:val="nil"/>
          <w:left w:val="nil"/>
          <w:bottom w:val="nil"/>
          <w:right w:val="nil"/>
          <w:between w:val="nil"/>
        </w:pBdr>
        <w:spacing w:line="240" w:lineRule="auto"/>
        <w:ind w:right="261"/>
        <w:jc w:val="right"/>
        <w:rPr>
          <w:color w:val="FFFFFF"/>
          <w:sz w:val="18"/>
          <w:szCs w:val="18"/>
        </w:rPr>
      </w:pPr>
      <w:r>
        <w:rPr>
          <w:color w:val="FFFFFF"/>
          <w:sz w:val="30"/>
          <w:szCs w:val="30"/>
          <w:vertAlign w:val="subscript"/>
        </w:rPr>
        <w:t>ОРИГІНАЛЬНІ</w:t>
      </w:r>
      <w:r>
        <w:rPr>
          <w:color w:val="FFFFFF"/>
          <w:sz w:val="18"/>
          <w:szCs w:val="18"/>
        </w:rPr>
        <w:t xml:space="preserve">  </w:t>
      </w:r>
    </w:p>
    <w:p w14:paraId="00000093" w14:textId="77777777" w:rsidR="005534B5" w:rsidRDefault="006C3692">
      <w:pPr>
        <w:widowControl w:val="0"/>
        <w:pBdr>
          <w:top w:val="nil"/>
          <w:left w:val="nil"/>
          <w:bottom w:val="nil"/>
          <w:right w:val="nil"/>
          <w:between w:val="nil"/>
        </w:pBdr>
        <w:spacing w:line="240" w:lineRule="auto"/>
        <w:ind w:right="23"/>
        <w:jc w:val="right"/>
        <w:rPr>
          <w:color w:val="FFFFFF"/>
          <w:sz w:val="18"/>
          <w:szCs w:val="18"/>
        </w:rPr>
      </w:pPr>
      <w:r>
        <w:rPr>
          <w:color w:val="FFFFFF"/>
          <w:sz w:val="30"/>
          <w:szCs w:val="30"/>
          <w:vertAlign w:val="subscript"/>
        </w:rPr>
        <w:t>ДОСЛІДЖЕНН</w:t>
      </w:r>
      <w:r>
        <w:rPr>
          <w:color w:val="FFFFFF"/>
          <w:sz w:val="18"/>
          <w:szCs w:val="18"/>
        </w:rPr>
        <w:t xml:space="preserve">Я </w:t>
      </w:r>
    </w:p>
    <w:p w14:paraId="00000094" w14:textId="77777777" w:rsidR="005534B5" w:rsidRDefault="006C3692">
      <w:pPr>
        <w:widowControl w:val="0"/>
        <w:pBdr>
          <w:top w:val="nil"/>
          <w:left w:val="nil"/>
          <w:bottom w:val="nil"/>
          <w:right w:val="nil"/>
          <w:between w:val="nil"/>
        </w:pBdr>
        <w:spacing w:line="239" w:lineRule="auto"/>
        <w:ind w:right="692"/>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 xml:space="preserve">для монооксиду вуглецю порівняно зі здоро вими особами. Серед усіх пацієнтів із легене вою гіпертензією статистично значущо гірші показники функції зовнішнього дихання мали пацієнти з легеневою гіпертензією у поєднан ні із вродженою вадою серця.  </w:t>
      </w:r>
    </w:p>
    <w:p w14:paraId="00000095" w14:textId="77777777" w:rsidR="005534B5" w:rsidRDefault="006C3692">
      <w:pPr>
        <w:widowControl w:val="0"/>
        <w:pBdr>
          <w:top w:val="nil"/>
          <w:left w:val="nil"/>
          <w:bottom w:val="nil"/>
          <w:right w:val="nil"/>
          <w:between w:val="nil"/>
        </w:pBdr>
        <w:spacing w:before="6" w:line="239" w:lineRule="auto"/>
        <w:ind w:right="684" w:firstLine="91"/>
        <w:jc w:val="both"/>
        <w:rPr>
          <w:rFonts w:ascii="Source Serif 4" w:eastAsia="Source Serif 4" w:hAnsi="Source Serif 4" w:cs="Source Serif 4"/>
          <w:color w:val="231F20"/>
          <w:sz w:val="20"/>
          <w:szCs w:val="20"/>
        </w:rPr>
      </w:pPr>
      <w:r>
        <w:rPr>
          <w:rFonts w:ascii="Source Serif 4" w:eastAsia="Source Serif 4" w:hAnsi="Source Serif 4" w:cs="Source Serif 4"/>
          <w:color w:val="231F20"/>
          <w:sz w:val="20"/>
          <w:szCs w:val="20"/>
        </w:rPr>
        <w:t>2. У заг</w:t>
      </w:r>
      <w:r>
        <w:rPr>
          <w:rFonts w:ascii="Source Serif 4" w:eastAsia="Source Serif 4" w:hAnsi="Source Serif 4" w:cs="Source Serif 4"/>
          <w:color w:val="231F20"/>
          <w:sz w:val="20"/>
          <w:szCs w:val="20"/>
        </w:rPr>
        <w:t xml:space="preserve">альній популяції пацієнтів із леге невою гіпертензією показники функції зовнішнього дихання, які характеризують можливості вдиху (ЖЄЛ, ФЖЄЛ), незалежно корелювали з площею правого передсердя, а показники, що характеризують можливості </w:t>
      </w:r>
      <w:r>
        <w:rPr>
          <w:rFonts w:ascii="Source Serif 4" w:eastAsia="Source Serif 4" w:hAnsi="Source Serif 4" w:cs="Source Serif 4"/>
          <w:color w:val="231F20"/>
          <w:sz w:val="20"/>
          <w:szCs w:val="20"/>
        </w:rPr>
        <w:lastRenderedPageBreak/>
        <w:t>видиху (ОФВ1), – із на</w:t>
      </w:r>
      <w:r>
        <w:rPr>
          <w:rFonts w:ascii="Source Serif 4" w:eastAsia="Source Serif 4" w:hAnsi="Source Serif 4" w:cs="Source Serif 4"/>
          <w:color w:val="231F20"/>
          <w:sz w:val="20"/>
          <w:szCs w:val="20"/>
        </w:rPr>
        <w:t xml:space="preserve">явністю вродженої вади серця.  </w:t>
      </w:r>
    </w:p>
    <w:p w14:paraId="00000096" w14:textId="77777777" w:rsidR="005534B5" w:rsidRDefault="006C3692">
      <w:pPr>
        <w:widowControl w:val="0"/>
        <w:pBdr>
          <w:top w:val="nil"/>
          <w:left w:val="nil"/>
          <w:bottom w:val="nil"/>
          <w:right w:val="nil"/>
          <w:between w:val="nil"/>
        </w:pBdr>
        <w:spacing w:before="6" w:line="234" w:lineRule="auto"/>
        <w:ind w:right="692" w:firstLine="90"/>
        <w:jc w:val="both"/>
        <w:rPr>
          <w:rFonts w:ascii="Source Serif 4" w:eastAsia="Source Serif 4" w:hAnsi="Source Serif 4" w:cs="Source Serif 4"/>
          <w:color w:val="231F20"/>
          <w:sz w:val="20"/>
          <w:szCs w:val="20"/>
        </w:rPr>
        <w:sectPr w:rsidR="005534B5">
          <w:type w:val="continuous"/>
          <w:pgSz w:w="12180" w:h="16440"/>
          <w:pgMar w:top="1170" w:right="747" w:bottom="1145" w:left="1136" w:header="0" w:footer="720" w:gutter="0"/>
          <w:cols w:num="2" w:space="720" w:equalWidth="0">
            <w:col w:w="5160" w:space="0"/>
            <w:col w:w="5160" w:space="0"/>
          </w:cols>
        </w:sectPr>
      </w:pPr>
      <w:r>
        <w:rPr>
          <w:rFonts w:ascii="Source Serif 4" w:eastAsia="Source Serif 4" w:hAnsi="Source Serif 4" w:cs="Source Serif 4"/>
          <w:color w:val="231F20"/>
          <w:sz w:val="20"/>
          <w:szCs w:val="20"/>
        </w:rPr>
        <w:t>3. Дифузійна здатність за монооксидом вуг лецю &lt; 64 % асоціювалася з нижчими рівня ми гемоглобіну і SaО</w:t>
      </w:r>
      <w:r>
        <w:rPr>
          <w:rFonts w:ascii="Source Serif 4" w:eastAsia="Source Serif 4" w:hAnsi="Source Serif 4" w:cs="Source Serif 4"/>
          <w:color w:val="231F20"/>
          <w:sz w:val="23"/>
          <w:szCs w:val="23"/>
          <w:vertAlign w:val="subscript"/>
        </w:rPr>
        <w:t xml:space="preserve">2 </w:t>
      </w:r>
      <w:r>
        <w:rPr>
          <w:rFonts w:ascii="Source Serif 4" w:eastAsia="Source Serif 4" w:hAnsi="Source Serif 4" w:cs="Source Serif 4"/>
          <w:color w:val="231F20"/>
          <w:sz w:val="33"/>
          <w:szCs w:val="33"/>
          <w:vertAlign w:val="superscript"/>
        </w:rPr>
        <w:t xml:space="preserve">та гіршими показни </w:t>
      </w:r>
      <w:r>
        <w:rPr>
          <w:rFonts w:ascii="Source Serif 4" w:eastAsia="Source Serif 4" w:hAnsi="Source Serif 4" w:cs="Source Serif 4"/>
          <w:color w:val="231F20"/>
          <w:sz w:val="20"/>
          <w:szCs w:val="20"/>
        </w:rPr>
        <w:t xml:space="preserve">ками, які характеризують функціональний </w:t>
      </w:r>
      <w:r>
        <w:rPr>
          <w:rFonts w:ascii="Source Serif 4" w:eastAsia="Source Serif 4" w:hAnsi="Source Serif 4" w:cs="Source Serif 4"/>
          <w:color w:val="231F20"/>
          <w:sz w:val="20"/>
          <w:szCs w:val="20"/>
        </w:rPr>
        <w:lastRenderedPageBreak/>
        <w:t>стан пацієнта. Проте незалежни</w:t>
      </w:r>
      <w:r>
        <w:rPr>
          <w:rFonts w:ascii="Source Serif 4" w:eastAsia="Source Serif 4" w:hAnsi="Source Serif 4" w:cs="Source Serif 4"/>
          <w:color w:val="231F20"/>
          <w:sz w:val="20"/>
          <w:szCs w:val="20"/>
        </w:rPr>
        <w:t xml:space="preserve">ми предикто рами наявності низької дифузійної здатності за монооксидом вуглецю були знижені рівні гемоглобіну, насичення артеріальної крові киснем та екскурсія кільця трикуспідального клапана. </w:t>
      </w:r>
    </w:p>
    <w:p w14:paraId="00000097" w14:textId="77777777" w:rsidR="005534B5" w:rsidRDefault="006C3692">
      <w:pPr>
        <w:widowControl w:val="0"/>
        <w:pBdr>
          <w:top w:val="nil"/>
          <w:left w:val="nil"/>
          <w:bottom w:val="nil"/>
          <w:right w:val="nil"/>
          <w:between w:val="nil"/>
        </w:pBdr>
        <w:spacing w:before="704" w:line="250" w:lineRule="auto"/>
        <w:ind w:left="353" w:right="658" w:firstLine="285"/>
        <w:rPr>
          <w:rFonts w:ascii="Source Serif 4" w:eastAsia="Source Serif 4" w:hAnsi="Source Serif 4" w:cs="Source Serif 4"/>
          <w:i/>
          <w:color w:val="231F20"/>
          <w:sz w:val="19"/>
          <w:szCs w:val="19"/>
        </w:rPr>
      </w:pPr>
      <w:r>
        <w:rPr>
          <w:rFonts w:ascii="Source Serif 4" w:eastAsia="Source Serif 4" w:hAnsi="Source Serif 4" w:cs="Source Serif 4"/>
          <w:i/>
          <w:color w:val="231F20"/>
          <w:sz w:val="19"/>
          <w:szCs w:val="19"/>
        </w:rPr>
        <w:lastRenderedPageBreak/>
        <w:t xml:space="preserve">Участь авторів: концепція та проєкт дослідження – Г.Р., Ю.С.; збір матеріалу – С.П., О.Т., С.К., Г.Р.; ста тистичне опрацювання даних, огляд літератури – С.П., Г.Р., О.Т.; написання статті – С.П., Г.Р.  </w:t>
      </w:r>
    </w:p>
    <w:p w14:paraId="00000098" w14:textId="77777777" w:rsidR="005534B5" w:rsidRDefault="006C3692">
      <w:pPr>
        <w:widowControl w:val="0"/>
        <w:pBdr>
          <w:top w:val="nil"/>
          <w:left w:val="nil"/>
          <w:bottom w:val="nil"/>
          <w:right w:val="nil"/>
          <w:between w:val="nil"/>
        </w:pBdr>
        <w:spacing w:before="345" w:line="240" w:lineRule="auto"/>
        <w:ind w:left="345"/>
        <w:rPr>
          <w:b/>
          <w:color w:val="005769"/>
          <w:sz w:val="20"/>
          <w:szCs w:val="20"/>
        </w:rPr>
        <w:sectPr w:rsidR="005534B5">
          <w:type w:val="continuous"/>
          <w:pgSz w:w="12180" w:h="16440"/>
          <w:pgMar w:top="1170" w:right="756" w:bottom="1145" w:left="790" w:header="0" w:footer="720" w:gutter="0"/>
          <w:cols w:space="720" w:equalWidth="0">
            <w:col w:w="10633" w:space="0"/>
          </w:cols>
        </w:sectPr>
      </w:pPr>
      <w:r>
        <w:rPr>
          <w:b/>
          <w:color w:val="005769"/>
          <w:sz w:val="20"/>
          <w:szCs w:val="20"/>
        </w:rPr>
        <w:t>Література</w:t>
      </w:r>
    </w:p>
    <w:p w14:paraId="00000099" w14:textId="77777777" w:rsidR="005534B5" w:rsidRDefault="006C3692">
      <w:pPr>
        <w:widowControl w:val="0"/>
        <w:pBdr>
          <w:top w:val="nil"/>
          <w:left w:val="nil"/>
          <w:bottom w:val="nil"/>
          <w:right w:val="nil"/>
          <w:between w:val="nil"/>
        </w:pBdr>
        <w:spacing w:before="176" w:line="222" w:lineRule="auto"/>
        <w:ind w:left="282" w:right="128" w:hanging="268"/>
        <w:jc w:val="both"/>
        <w:rPr>
          <w:color w:val="231F20"/>
          <w:sz w:val="16"/>
          <w:szCs w:val="16"/>
        </w:rPr>
      </w:pPr>
      <w:r>
        <w:rPr>
          <w:color w:val="231F20"/>
          <w:sz w:val="16"/>
          <w:szCs w:val="16"/>
        </w:rPr>
        <w:lastRenderedPageBreak/>
        <w:t>1. Humbert M, Kova</w:t>
      </w:r>
      <w:r>
        <w:rPr>
          <w:color w:val="231F20"/>
          <w:sz w:val="16"/>
          <w:szCs w:val="16"/>
        </w:rPr>
        <w:t xml:space="preserve">cs G, Hoeper MM, Badagliacca R, </w:t>
      </w:r>
      <w:proofErr w:type="gramStart"/>
      <w:r>
        <w:rPr>
          <w:color w:val="231F20"/>
          <w:sz w:val="16"/>
          <w:szCs w:val="16"/>
        </w:rPr>
        <w:t>Berger  RMF</w:t>
      </w:r>
      <w:proofErr w:type="gramEnd"/>
      <w:r>
        <w:rPr>
          <w:color w:val="231F20"/>
          <w:sz w:val="16"/>
          <w:szCs w:val="16"/>
        </w:rPr>
        <w:t xml:space="preserve">, Brida M, et al. 2022 ESC/ERS Guidelines for the diagnosis  and treatment of pulmonary hypertension. Eurn Heart J. </w:t>
      </w:r>
      <w:proofErr w:type="gramStart"/>
      <w:r>
        <w:rPr>
          <w:color w:val="231F20"/>
          <w:sz w:val="16"/>
          <w:szCs w:val="16"/>
        </w:rPr>
        <w:t>2022  Aug</w:t>
      </w:r>
      <w:proofErr w:type="gramEnd"/>
      <w:r>
        <w:rPr>
          <w:color w:val="231F20"/>
          <w:sz w:val="16"/>
          <w:szCs w:val="16"/>
        </w:rPr>
        <w:t xml:space="preserve"> 26;43(38). http://doi.org/10.1093/eurheartj/ehac237.  </w:t>
      </w:r>
    </w:p>
    <w:p w14:paraId="0000009A" w14:textId="77777777" w:rsidR="005534B5" w:rsidRDefault="006C3692">
      <w:pPr>
        <w:widowControl w:val="0"/>
        <w:pBdr>
          <w:top w:val="nil"/>
          <w:left w:val="nil"/>
          <w:bottom w:val="nil"/>
          <w:right w:val="nil"/>
          <w:between w:val="nil"/>
        </w:pBdr>
        <w:spacing w:before="23" w:line="222" w:lineRule="auto"/>
        <w:ind w:left="281" w:right="128" w:hanging="276"/>
        <w:rPr>
          <w:color w:val="231F20"/>
          <w:sz w:val="16"/>
          <w:szCs w:val="16"/>
        </w:rPr>
      </w:pPr>
      <w:r>
        <w:rPr>
          <w:color w:val="231F20"/>
          <w:sz w:val="16"/>
          <w:szCs w:val="16"/>
        </w:rPr>
        <w:t xml:space="preserve">2. Sun XG, Hansen JE, Oudiz RJ, Wasserman K. Pulmonary func tion in primary pulmonary hypertension. J Amer Coll Cardiol.  2003 Mar;41(6):1028-35. http:/doi.org/10.1016/s0735- 1097(02)02964-9.  </w:t>
      </w:r>
    </w:p>
    <w:p w14:paraId="0000009B" w14:textId="77777777" w:rsidR="005534B5" w:rsidRDefault="006C3692">
      <w:pPr>
        <w:widowControl w:val="0"/>
        <w:pBdr>
          <w:top w:val="nil"/>
          <w:left w:val="nil"/>
          <w:bottom w:val="nil"/>
          <w:right w:val="nil"/>
          <w:between w:val="nil"/>
        </w:pBdr>
        <w:spacing w:before="3" w:line="222" w:lineRule="auto"/>
        <w:ind w:left="287" w:right="128" w:hanging="282"/>
        <w:jc w:val="both"/>
        <w:rPr>
          <w:color w:val="231F20"/>
          <w:sz w:val="16"/>
          <w:szCs w:val="16"/>
        </w:rPr>
      </w:pPr>
      <w:r>
        <w:rPr>
          <w:color w:val="231F20"/>
          <w:sz w:val="16"/>
          <w:szCs w:val="16"/>
        </w:rPr>
        <w:t xml:space="preserve">3. Horn M, Ries A, Neveu C, Moser K. Restrictive </w:t>
      </w:r>
      <w:proofErr w:type="gramStart"/>
      <w:r>
        <w:rPr>
          <w:color w:val="231F20"/>
          <w:sz w:val="16"/>
          <w:szCs w:val="16"/>
        </w:rPr>
        <w:t xml:space="preserve">Ventilatory  </w:t>
      </w:r>
      <w:r>
        <w:rPr>
          <w:color w:val="231F20"/>
          <w:sz w:val="16"/>
          <w:szCs w:val="16"/>
        </w:rPr>
        <w:t>Pattern</w:t>
      </w:r>
      <w:proofErr w:type="gramEnd"/>
      <w:r>
        <w:rPr>
          <w:color w:val="231F20"/>
          <w:sz w:val="16"/>
          <w:szCs w:val="16"/>
        </w:rPr>
        <w:t xml:space="preserve"> in Precapillary Pulmonary Hypertension. Amer </w:t>
      </w:r>
      <w:proofErr w:type="gramStart"/>
      <w:r>
        <w:rPr>
          <w:color w:val="231F20"/>
          <w:sz w:val="16"/>
          <w:szCs w:val="16"/>
        </w:rPr>
        <w:t>Rev  Resp</w:t>
      </w:r>
      <w:proofErr w:type="gramEnd"/>
      <w:r>
        <w:rPr>
          <w:color w:val="231F20"/>
          <w:sz w:val="16"/>
          <w:szCs w:val="16"/>
        </w:rPr>
        <w:t xml:space="preserve"> Dis. 1983 Jul;128(1):163-5. http:/doi.org/10.1164/ arrd.1983.128.1.163.  </w:t>
      </w:r>
    </w:p>
    <w:p w14:paraId="0000009C" w14:textId="77777777" w:rsidR="005534B5" w:rsidRDefault="006C3692">
      <w:pPr>
        <w:widowControl w:val="0"/>
        <w:pBdr>
          <w:top w:val="nil"/>
          <w:left w:val="nil"/>
          <w:bottom w:val="nil"/>
          <w:right w:val="nil"/>
          <w:between w:val="nil"/>
        </w:pBdr>
        <w:spacing w:before="3" w:line="230" w:lineRule="auto"/>
        <w:ind w:right="127"/>
        <w:jc w:val="center"/>
        <w:rPr>
          <w:color w:val="231F20"/>
          <w:sz w:val="16"/>
          <w:szCs w:val="16"/>
        </w:rPr>
      </w:pPr>
      <w:r>
        <w:rPr>
          <w:color w:val="231F20"/>
          <w:sz w:val="16"/>
          <w:szCs w:val="16"/>
        </w:rPr>
        <w:t xml:space="preserve">4. Jing Z-C, Xu X-Q, Badesch DB, Jiang X, Wu Y, Liu J-M, et al.  Pulmonary function testing in patients with pulmonary </w:t>
      </w:r>
      <w:r>
        <w:rPr>
          <w:color w:val="231F20"/>
          <w:sz w:val="16"/>
          <w:szCs w:val="16"/>
        </w:rPr>
        <w:t xml:space="preserve">arte rial hypertension. Respir Med [Internet]. 2009;103(8):1136-42.  Available from: http://doi.org/10.1016/j.rmed.2009.03.009  </w:t>
      </w:r>
    </w:p>
    <w:p w14:paraId="0000009D" w14:textId="77777777" w:rsidR="005534B5" w:rsidRDefault="006C3692">
      <w:pPr>
        <w:widowControl w:val="0"/>
        <w:pBdr>
          <w:top w:val="nil"/>
          <w:left w:val="nil"/>
          <w:bottom w:val="nil"/>
          <w:right w:val="nil"/>
          <w:between w:val="nil"/>
        </w:pBdr>
        <w:spacing w:line="222" w:lineRule="auto"/>
        <w:ind w:left="288" w:right="127" w:hanging="278"/>
        <w:rPr>
          <w:color w:val="231F20"/>
          <w:sz w:val="16"/>
          <w:szCs w:val="16"/>
        </w:rPr>
      </w:pPr>
      <w:r>
        <w:rPr>
          <w:color w:val="231F20"/>
          <w:sz w:val="16"/>
          <w:szCs w:val="16"/>
        </w:rPr>
        <w:t xml:space="preserve">5. Rich S, Dantzker DR, Ayres SM, Bergofsky EH, Brundage </w:t>
      </w:r>
      <w:proofErr w:type="gramStart"/>
      <w:r>
        <w:rPr>
          <w:color w:val="231F20"/>
          <w:sz w:val="16"/>
          <w:szCs w:val="16"/>
        </w:rPr>
        <w:t>BH,  Detre</w:t>
      </w:r>
      <w:proofErr w:type="gramEnd"/>
      <w:r>
        <w:rPr>
          <w:color w:val="231F20"/>
          <w:sz w:val="16"/>
          <w:szCs w:val="16"/>
        </w:rPr>
        <w:t xml:space="preserve"> KM, et al. Primary pulmonary hypertension. A </w:t>
      </w:r>
      <w:proofErr w:type="gramStart"/>
      <w:r>
        <w:rPr>
          <w:color w:val="231F20"/>
          <w:sz w:val="16"/>
          <w:szCs w:val="16"/>
        </w:rPr>
        <w:t>national  prospective</w:t>
      </w:r>
      <w:proofErr w:type="gramEnd"/>
      <w:r>
        <w:rPr>
          <w:color w:val="231F20"/>
          <w:sz w:val="16"/>
          <w:szCs w:val="16"/>
        </w:rPr>
        <w:t xml:space="preserve"> study. Ann Intern Med [Internet]. 1987;107(2):216- 23. Available from: http://doi.org/10.7326/0003-4819-107-2- 216  </w:t>
      </w:r>
    </w:p>
    <w:p w14:paraId="0000009E" w14:textId="77777777" w:rsidR="005534B5" w:rsidRDefault="006C3692">
      <w:pPr>
        <w:widowControl w:val="0"/>
        <w:pBdr>
          <w:top w:val="nil"/>
          <w:left w:val="nil"/>
          <w:bottom w:val="nil"/>
          <w:right w:val="nil"/>
          <w:between w:val="nil"/>
        </w:pBdr>
        <w:spacing w:before="3" w:line="222" w:lineRule="auto"/>
        <w:ind w:left="282" w:right="128" w:hanging="276"/>
        <w:rPr>
          <w:color w:val="231F20"/>
          <w:sz w:val="16"/>
          <w:szCs w:val="16"/>
        </w:rPr>
      </w:pPr>
      <w:r>
        <w:rPr>
          <w:color w:val="231F20"/>
          <w:sz w:val="16"/>
          <w:szCs w:val="16"/>
        </w:rPr>
        <w:t>6. B</w:t>
      </w:r>
      <w:r>
        <w:rPr>
          <w:color w:val="231F20"/>
          <w:sz w:val="16"/>
          <w:szCs w:val="16"/>
        </w:rPr>
        <w:t xml:space="preserve">urke CM, Glanville AR, Morris AJ, Rubin D, Harvey </w:t>
      </w:r>
      <w:proofErr w:type="gramStart"/>
      <w:r>
        <w:rPr>
          <w:color w:val="231F20"/>
          <w:sz w:val="16"/>
          <w:szCs w:val="16"/>
        </w:rPr>
        <w:t>JA,  Theodore</w:t>
      </w:r>
      <w:proofErr w:type="gramEnd"/>
      <w:r>
        <w:rPr>
          <w:color w:val="231F20"/>
          <w:sz w:val="16"/>
          <w:szCs w:val="16"/>
        </w:rPr>
        <w:t xml:space="preserve"> J, et al. Pulmonary function in advanced pulmonary  hypertension. Thorax. 1987 Feb 1;42(2):131-5. http://doi. org/10.1136/thx.42.2.131. </w:t>
      </w:r>
    </w:p>
    <w:p w14:paraId="0000009F" w14:textId="77777777" w:rsidR="005534B5" w:rsidRDefault="006C3692">
      <w:pPr>
        <w:widowControl w:val="0"/>
        <w:pBdr>
          <w:top w:val="nil"/>
          <w:left w:val="nil"/>
          <w:bottom w:val="nil"/>
          <w:right w:val="nil"/>
          <w:between w:val="nil"/>
        </w:pBdr>
        <w:spacing w:before="3" w:line="222" w:lineRule="auto"/>
        <w:ind w:left="286" w:right="128" w:hanging="281"/>
        <w:jc w:val="both"/>
        <w:rPr>
          <w:color w:val="231F20"/>
          <w:sz w:val="16"/>
          <w:szCs w:val="16"/>
        </w:rPr>
      </w:pPr>
      <w:r>
        <w:rPr>
          <w:color w:val="231F20"/>
          <w:sz w:val="16"/>
          <w:szCs w:val="16"/>
        </w:rPr>
        <w:t>7. D’Alonzo GE, Bower JS, Dantzker DR. clinical investi</w:t>
      </w:r>
      <w:r>
        <w:rPr>
          <w:color w:val="231F20"/>
          <w:sz w:val="16"/>
          <w:szCs w:val="16"/>
        </w:rPr>
        <w:t xml:space="preserve">gations.  Chest. 1984 Apr;85(4):457-61. http://doi.org/10.1378/ chest.85.4.457. </w:t>
      </w:r>
    </w:p>
    <w:p w14:paraId="000000A0" w14:textId="77777777" w:rsidR="005534B5" w:rsidRDefault="006C3692">
      <w:pPr>
        <w:widowControl w:val="0"/>
        <w:pBdr>
          <w:top w:val="nil"/>
          <w:left w:val="nil"/>
          <w:bottom w:val="nil"/>
          <w:right w:val="nil"/>
          <w:between w:val="nil"/>
        </w:pBdr>
        <w:spacing w:line="222" w:lineRule="auto"/>
        <w:ind w:left="408" w:right="7" w:hanging="284"/>
        <w:rPr>
          <w:color w:val="231F20"/>
          <w:sz w:val="16"/>
          <w:szCs w:val="16"/>
        </w:rPr>
      </w:pPr>
      <w:r>
        <w:rPr>
          <w:color w:val="231F20"/>
          <w:sz w:val="16"/>
          <w:szCs w:val="16"/>
        </w:rPr>
        <w:lastRenderedPageBreak/>
        <w:t xml:space="preserve">8. Meyer FJ. Peripheral airway obstruction in primary </w:t>
      </w:r>
      <w:proofErr w:type="gramStart"/>
      <w:r>
        <w:rPr>
          <w:color w:val="231F20"/>
          <w:sz w:val="16"/>
          <w:szCs w:val="16"/>
        </w:rPr>
        <w:t>pulmonary  hypertension</w:t>
      </w:r>
      <w:proofErr w:type="gramEnd"/>
      <w:r>
        <w:rPr>
          <w:color w:val="231F20"/>
          <w:sz w:val="16"/>
          <w:szCs w:val="16"/>
        </w:rPr>
        <w:t xml:space="preserve">. Thorax. 2002 Jun 1;57(6):473-6. http://doi. org/10.1136/thorax.57.6.473.  </w:t>
      </w:r>
    </w:p>
    <w:p w14:paraId="000000A1" w14:textId="77777777" w:rsidR="005534B5" w:rsidRDefault="006C3692">
      <w:pPr>
        <w:widowControl w:val="0"/>
        <w:pBdr>
          <w:top w:val="nil"/>
          <w:left w:val="nil"/>
          <w:bottom w:val="nil"/>
          <w:right w:val="nil"/>
          <w:between w:val="nil"/>
        </w:pBdr>
        <w:spacing w:before="3" w:line="222" w:lineRule="auto"/>
        <w:ind w:left="408" w:right="7" w:hanging="283"/>
        <w:rPr>
          <w:color w:val="231F20"/>
          <w:sz w:val="16"/>
          <w:szCs w:val="16"/>
        </w:rPr>
      </w:pPr>
      <w:r>
        <w:rPr>
          <w:color w:val="231F20"/>
          <w:sz w:val="16"/>
          <w:szCs w:val="16"/>
        </w:rPr>
        <w:t xml:space="preserve">9. Low AT, Medford ARL, Millar AB, Tulloh RMR. Lung function </w:t>
      </w:r>
      <w:proofErr w:type="gramStart"/>
      <w:r>
        <w:rPr>
          <w:color w:val="231F20"/>
          <w:sz w:val="16"/>
          <w:szCs w:val="16"/>
        </w:rPr>
        <w:t>in  pulmonary</w:t>
      </w:r>
      <w:proofErr w:type="gramEnd"/>
      <w:r>
        <w:rPr>
          <w:color w:val="231F20"/>
          <w:sz w:val="16"/>
          <w:szCs w:val="16"/>
        </w:rPr>
        <w:t xml:space="preserve"> hypertension. Respir Med. 2015 Oct;109(10):1244- 9. http://doi.org/10.1016/j.rmed.2015.05.022.  </w:t>
      </w:r>
    </w:p>
    <w:p w14:paraId="000000A2" w14:textId="77777777" w:rsidR="005534B5" w:rsidRDefault="006C3692">
      <w:pPr>
        <w:widowControl w:val="0"/>
        <w:pBdr>
          <w:top w:val="nil"/>
          <w:left w:val="nil"/>
          <w:bottom w:val="nil"/>
          <w:right w:val="nil"/>
          <w:between w:val="nil"/>
        </w:pBdr>
        <w:spacing w:before="3" w:line="226" w:lineRule="auto"/>
        <w:ind w:left="402" w:right="7" w:hanging="267"/>
        <w:rPr>
          <w:color w:val="231F20"/>
          <w:sz w:val="16"/>
          <w:szCs w:val="16"/>
        </w:rPr>
      </w:pPr>
      <w:r>
        <w:rPr>
          <w:color w:val="231F20"/>
          <w:sz w:val="16"/>
          <w:szCs w:val="16"/>
        </w:rPr>
        <w:t xml:space="preserve">10. Kwi Young Kang, Chan Hong Jeon, Sung Jae Choi, Bo </w:t>
      </w:r>
      <w:proofErr w:type="gramStart"/>
      <w:r>
        <w:rPr>
          <w:color w:val="231F20"/>
          <w:sz w:val="16"/>
          <w:szCs w:val="16"/>
        </w:rPr>
        <w:t>Young  Yoon</w:t>
      </w:r>
      <w:proofErr w:type="gramEnd"/>
      <w:r>
        <w:rPr>
          <w:color w:val="231F20"/>
          <w:sz w:val="16"/>
          <w:szCs w:val="16"/>
        </w:rPr>
        <w:t>, Chan Bum Choi, Ch</w:t>
      </w:r>
      <w:r>
        <w:rPr>
          <w:color w:val="231F20"/>
          <w:sz w:val="16"/>
          <w:szCs w:val="16"/>
        </w:rPr>
        <w:t>ang Hoon Lee, et al. Survival and  prognostic factors in patients with connective tissue disease</w:t>
      </w:r>
      <w:r>
        <w:rPr>
          <w:rFonts w:ascii="Times New Roman" w:eastAsia="Times New Roman" w:hAnsi="Times New Roman" w:cs="Times New Roman"/>
          <w:color w:val="231F20"/>
          <w:sz w:val="16"/>
          <w:szCs w:val="16"/>
        </w:rPr>
        <w:t xml:space="preserve">‐ </w:t>
      </w:r>
      <w:r>
        <w:rPr>
          <w:color w:val="231F20"/>
          <w:sz w:val="16"/>
          <w:szCs w:val="16"/>
        </w:rPr>
        <w:t xml:space="preserve">associated pulmonary hypertension diagnosed by echocar diography: results from a Korean nationwide registry. Intern </w:t>
      </w:r>
      <w:proofErr w:type="gramStart"/>
      <w:r>
        <w:rPr>
          <w:color w:val="231F20"/>
          <w:sz w:val="16"/>
          <w:szCs w:val="16"/>
        </w:rPr>
        <w:t>J  Rheumatic</w:t>
      </w:r>
      <w:proofErr w:type="gramEnd"/>
      <w:r>
        <w:rPr>
          <w:color w:val="231F20"/>
          <w:sz w:val="16"/>
          <w:szCs w:val="16"/>
        </w:rPr>
        <w:t xml:space="preserve"> Dis. 2015 Jul 27;20(9):1227-3</w:t>
      </w:r>
      <w:r>
        <w:rPr>
          <w:color w:val="231F20"/>
          <w:sz w:val="16"/>
          <w:szCs w:val="16"/>
        </w:rPr>
        <w:t xml:space="preserve">6. http://doi. org/10.1111/1756-185X.12645.  </w:t>
      </w:r>
    </w:p>
    <w:p w14:paraId="000000A3" w14:textId="77777777" w:rsidR="005534B5" w:rsidRDefault="006C3692">
      <w:pPr>
        <w:widowControl w:val="0"/>
        <w:pBdr>
          <w:top w:val="nil"/>
          <w:left w:val="nil"/>
          <w:bottom w:val="nil"/>
          <w:right w:val="nil"/>
          <w:between w:val="nil"/>
        </w:pBdr>
        <w:spacing w:line="227" w:lineRule="auto"/>
        <w:ind w:left="408" w:right="7" w:hanging="273"/>
        <w:rPr>
          <w:color w:val="231F20"/>
          <w:sz w:val="16"/>
          <w:szCs w:val="16"/>
        </w:rPr>
      </w:pPr>
      <w:r>
        <w:rPr>
          <w:color w:val="231F20"/>
          <w:sz w:val="16"/>
          <w:szCs w:val="16"/>
        </w:rPr>
        <w:t xml:space="preserve">11. Blanquez-Nadal M, Piliero N, Guillien A, Doutreleau S, </w:t>
      </w:r>
      <w:proofErr w:type="gramStart"/>
      <w:r>
        <w:rPr>
          <w:color w:val="231F20"/>
          <w:sz w:val="16"/>
          <w:szCs w:val="16"/>
        </w:rPr>
        <w:t>Salvat  M</w:t>
      </w:r>
      <w:proofErr w:type="gramEnd"/>
      <w:r>
        <w:rPr>
          <w:color w:val="231F20"/>
          <w:sz w:val="16"/>
          <w:szCs w:val="16"/>
        </w:rPr>
        <w:t xml:space="preserve">, Thony F, et al. Exercise hyperventilation and pulmonary gas  exchange in chronic thromboembolic pulmonary hyperten sion: Effects of balloon pulmonary angioplasty. J Heart </w:t>
      </w:r>
      <w:proofErr w:type="gramStart"/>
      <w:r>
        <w:rPr>
          <w:color w:val="231F20"/>
          <w:sz w:val="16"/>
          <w:szCs w:val="16"/>
        </w:rPr>
        <w:t>and  Lung</w:t>
      </w:r>
      <w:proofErr w:type="gramEnd"/>
      <w:r>
        <w:rPr>
          <w:color w:val="231F20"/>
          <w:sz w:val="16"/>
          <w:szCs w:val="16"/>
        </w:rPr>
        <w:t xml:space="preserve"> Trans</w:t>
      </w:r>
      <w:r>
        <w:rPr>
          <w:color w:val="231F20"/>
          <w:sz w:val="16"/>
          <w:szCs w:val="16"/>
        </w:rPr>
        <w:t xml:space="preserve">plantation. 2021 Sep. http://doi.org/10.1016/j. healun.2021.09.009.  </w:t>
      </w:r>
    </w:p>
    <w:p w14:paraId="000000A4" w14:textId="77777777" w:rsidR="005534B5" w:rsidRDefault="006C3692">
      <w:pPr>
        <w:widowControl w:val="0"/>
        <w:pBdr>
          <w:top w:val="nil"/>
          <w:left w:val="nil"/>
          <w:bottom w:val="nil"/>
          <w:right w:val="nil"/>
          <w:between w:val="nil"/>
        </w:pBdr>
        <w:spacing w:line="222" w:lineRule="auto"/>
        <w:ind w:left="403" w:right="7" w:hanging="267"/>
        <w:jc w:val="both"/>
        <w:rPr>
          <w:color w:val="231F20"/>
          <w:sz w:val="16"/>
          <w:szCs w:val="16"/>
        </w:rPr>
      </w:pPr>
      <w:r>
        <w:rPr>
          <w:color w:val="231F20"/>
          <w:sz w:val="16"/>
          <w:szCs w:val="16"/>
        </w:rPr>
        <w:t xml:space="preserve">12. Broberg CS, Van Woerkom RC, Swallow E, Dimopoulos </w:t>
      </w:r>
      <w:proofErr w:type="gramStart"/>
      <w:r>
        <w:rPr>
          <w:color w:val="231F20"/>
          <w:sz w:val="16"/>
          <w:szCs w:val="16"/>
        </w:rPr>
        <w:t>K,  Diller</w:t>
      </w:r>
      <w:proofErr w:type="gramEnd"/>
      <w:r>
        <w:rPr>
          <w:color w:val="231F20"/>
          <w:sz w:val="16"/>
          <w:szCs w:val="16"/>
        </w:rPr>
        <w:t xml:space="preserve"> G-P, Allada G, et al. Lung function and gas exchange in  Eisenmenger syndrome and their impact on exercise capacity  and survival. Int J Cardiol [Internet]. 2014;171(1):73-7.  Available from:</w:t>
      </w:r>
      <w:r>
        <w:rPr>
          <w:color w:val="231F20"/>
          <w:sz w:val="16"/>
          <w:szCs w:val="16"/>
        </w:rPr>
        <w:t xml:space="preserve"> http://doi.org/10.1016/j.ijcard.2013.11.047.  </w:t>
      </w:r>
    </w:p>
    <w:p w14:paraId="000000A5" w14:textId="77777777" w:rsidR="005534B5" w:rsidRDefault="006C3692">
      <w:pPr>
        <w:widowControl w:val="0"/>
        <w:pBdr>
          <w:top w:val="nil"/>
          <w:left w:val="nil"/>
          <w:bottom w:val="nil"/>
          <w:right w:val="nil"/>
          <w:between w:val="nil"/>
        </w:pBdr>
        <w:spacing w:before="3" w:line="222" w:lineRule="auto"/>
        <w:ind w:left="408" w:right="7" w:hanging="273"/>
        <w:jc w:val="both"/>
        <w:rPr>
          <w:color w:val="231F20"/>
          <w:sz w:val="16"/>
          <w:szCs w:val="16"/>
        </w:rPr>
        <w:sectPr w:rsidR="005534B5">
          <w:type w:val="continuous"/>
          <w:pgSz w:w="12180" w:h="16440"/>
          <w:pgMar w:top="1170" w:right="1370" w:bottom="1145" w:left="1136" w:header="0" w:footer="720" w:gutter="0"/>
          <w:cols w:num="2" w:space="720" w:equalWidth="0">
            <w:col w:w="4840" w:space="0"/>
            <w:col w:w="4840" w:space="0"/>
          </w:cols>
        </w:sectPr>
      </w:pPr>
      <w:r>
        <w:rPr>
          <w:color w:val="231F20"/>
          <w:sz w:val="16"/>
          <w:szCs w:val="16"/>
        </w:rPr>
        <w:t>13. Moreno-Mac</w:t>
      </w:r>
      <w:r>
        <w:rPr>
          <w:rFonts w:ascii="Times New Roman" w:eastAsia="Times New Roman" w:hAnsi="Times New Roman" w:cs="Times New Roman"/>
          <w:color w:val="231F20"/>
          <w:sz w:val="16"/>
          <w:szCs w:val="16"/>
        </w:rPr>
        <w:t>ía</w:t>
      </w:r>
      <w:r>
        <w:rPr>
          <w:color w:val="231F20"/>
          <w:sz w:val="16"/>
          <w:szCs w:val="16"/>
        </w:rPr>
        <w:t xml:space="preserve">s H, Dockery DW, Schwartz J, Gold DR, </w:t>
      </w:r>
      <w:proofErr w:type="gramStart"/>
      <w:r>
        <w:rPr>
          <w:color w:val="231F20"/>
          <w:sz w:val="16"/>
          <w:szCs w:val="16"/>
        </w:rPr>
        <w:t>Laird  NM</w:t>
      </w:r>
      <w:proofErr w:type="gramEnd"/>
      <w:r>
        <w:rPr>
          <w:color w:val="231F20"/>
          <w:sz w:val="16"/>
          <w:szCs w:val="16"/>
        </w:rPr>
        <w:t>, Sienra-Monge JJ, et al. Ozone exposure, vitamin C intake,  and genetic susceptibility of asthmatic children in Me</w:t>
      </w:r>
      <w:r>
        <w:rPr>
          <w:color w:val="231F20"/>
          <w:sz w:val="16"/>
          <w:szCs w:val="16"/>
        </w:rPr>
        <w:t xml:space="preserve">xico City:  a cohort study. Respiratory Research. 2013 Jan 1;14(1):14–4.  </w:t>
      </w:r>
    </w:p>
    <w:p w14:paraId="000000A6" w14:textId="77777777" w:rsidR="005534B5" w:rsidRDefault="006C3692">
      <w:pPr>
        <w:widowControl w:val="0"/>
        <w:pBdr>
          <w:top w:val="nil"/>
          <w:left w:val="nil"/>
          <w:bottom w:val="nil"/>
          <w:right w:val="nil"/>
          <w:between w:val="nil"/>
        </w:pBdr>
        <w:spacing w:line="240" w:lineRule="auto"/>
        <w:ind w:right="379"/>
        <w:jc w:val="right"/>
        <w:rPr>
          <w:color w:val="005769"/>
          <w:sz w:val="14"/>
          <w:szCs w:val="14"/>
        </w:rPr>
        <w:sectPr w:rsidR="005534B5">
          <w:type w:val="continuous"/>
          <w:pgSz w:w="12180" w:h="16440"/>
          <w:pgMar w:top="1170" w:right="756" w:bottom="1145" w:left="790" w:header="0" w:footer="720" w:gutter="0"/>
          <w:cols w:space="720" w:equalWidth="0">
            <w:col w:w="10633" w:space="0"/>
          </w:cols>
        </w:sectPr>
      </w:pPr>
      <w:r>
        <w:rPr>
          <w:color w:val="231F20"/>
        </w:rPr>
        <w:lastRenderedPageBreak/>
        <w:t xml:space="preserve">62 </w:t>
      </w:r>
      <w:r>
        <w:rPr>
          <w:color w:val="005769"/>
          <w:sz w:val="23"/>
          <w:szCs w:val="23"/>
          <w:vertAlign w:val="superscript"/>
        </w:rPr>
        <w:t>Кардіохірургія та інтервенційна кардіологія. 2024; Том 13, № 3 С.О. Прогонов та співавт.</w:t>
      </w:r>
      <w:r>
        <w:rPr>
          <w:color w:val="005769"/>
          <w:sz w:val="14"/>
          <w:szCs w:val="14"/>
        </w:rPr>
        <w:t xml:space="preserve"> </w:t>
      </w:r>
    </w:p>
    <w:p w14:paraId="000000A7" w14:textId="77777777" w:rsidR="005534B5" w:rsidRDefault="006C3692">
      <w:pPr>
        <w:widowControl w:val="0"/>
        <w:pBdr>
          <w:top w:val="nil"/>
          <w:left w:val="nil"/>
          <w:bottom w:val="nil"/>
          <w:right w:val="nil"/>
          <w:between w:val="nil"/>
        </w:pBdr>
        <w:spacing w:before="320" w:line="240" w:lineRule="auto"/>
        <w:rPr>
          <w:color w:val="FFFFFF"/>
          <w:sz w:val="18"/>
          <w:szCs w:val="18"/>
        </w:rPr>
      </w:pPr>
      <w:r>
        <w:rPr>
          <w:color w:val="FFFFFF"/>
          <w:sz w:val="30"/>
          <w:szCs w:val="30"/>
          <w:vertAlign w:val="subscript"/>
        </w:rPr>
        <w:lastRenderedPageBreak/>
        <w:t>ОРИГІНАЛЬНІ</w:t>
      </w:r>
      <w:r>
        <w:rPr>
          <w:color w:val="FFFFFF"/>
          <w:sz w:val="18"/>
          <w:szCs w:val="18"/>
        </w:rPr>
        <w:t xml:space="preserve">  </w:t>
      </w:r>
    </w:p>
    <w:p w14:paraId="000000A8" w14:textId="77777777" w:rsidR="005534B5" w:rsidRDefault="006C3692">
      <w:pPr>
        <w:widowControl w:val="0"/>
        <w:pBdr>
          <w:top w:val="nil"/>
          <w:left w:val="nil"/>
          <w:bottom w:val="nil"/>
          <w:right w:val="nil"/>
          <w:between w:val="nil"/>
        </w:pBdr>
        <w:spacing w:line="240" w:lineRule="auto"/>
        <w:ind w:left="215"/>
        <w:rPr>
          <w:color w:val="231F20"/>
          <w:sz w:val="16"/>
          <w:szCs w:val="16"/>
        </w:rPr>
      </w:pPr>
      <w:r>
        <w:rPr>
          <w:color w:val="FFFFFF"/>
          <w:sz w:val="30"/>
          <w:szCs w:val="30"/>
          <w:vertAlign w:val="subscript"/>
        </w:rPr>
        <w:t>ДОСЛІДЖЕНН</w:t>
      </w:r>
      <w:r>
        <w:rPr>
          <w:color w:val="FFFFFF"/>
          <w:sz w:val="18"/>
          <w:szCs w:val="18"/>
        </w:rPr>
        <w:t>Я</w:t>
      </w:r>
      <w:r>
        <w:rPr>
          <w:color w:val="231F20"/>
          <w:sz w:val="16"/>
          <w:szCs w:val="16"/>
        </w:rPr>
        <w:t xml:space="preserve">http://doi.org/10.1186/1465-9921-14-14.  </w:t>
      </w:r>
    </w:p>
    <w:p w14:paraId="000000A9" w14:textId="77777777" w:rsidR="005534B5" w:rsidRDefault="006C3692">
      <w:pPr>
        <w:widowControl w:val="0"/>
        <w:pBdr>
          <w:top w:val="nil"/>
          <w:left w:val="nil"/>
          <w:bottom w:val="nil"/>
          <w:right w:val="nil"/>
          <w:between w:val="nil"/>
        </w:pBdr>
        <w:spacing w:line="222" w:lineRule="auto"/>
        <w:ind w:left="911" w:hanging="267"/>
        <w:rPr>
          <w:color w:val="231F20"/>
          <w:sz w:val="16"/>
          <w:szCs w:val="16"/>
        </w:rPr>
      </w:pPr>
      <w:r>
        <w:rPr>
          <w:color w:val="231F20"/>
          <w:sz w:val="16"/>
          <w:szCs w:val="16"/>
        </w:rPr>
        <w:t xml:space="preserve">14. Hughes JMB, Pride NB. In defence of the carbon </w:t>
      </w:r>
      <w:proofErr w:type="gramStart"/>
      <w:r>
        <w:rPr>
          <w:color w:val="231F20"/>
          <w:sz w:val="16"/>
          <w:szCs w:val="16"/>
        </w:rPr>
        <w:t>monoxide  transfer</w:t>
      </w:r>
      <w:proofErr w:type="gramEnd"/>
      <w:r>
        <w:rPr>
          <w:color w:val="231F20"/>
          <w:sz w:val="16"/>
          <w:szCs w:val="16"/>
        </w:rPr>
        <w:t xml:space="preserve"> coefficient KCO (TL/VA). European </w:t>
      </w:r>
      <w:proofErr w:type="gramStart"/>
      <w:r>
        <w:rPr>
          <w:color w:val="231F20"/>
          <w:sz w:val="16"/>
          <w:szCs w:val="16"/>
        </w:rPr>
        <w:t>Respiratory  Journal</w:t>
      </w:r>
      <w:proofErr w:type="gramEnd"/>
      <w:r>
        <w:rPr>
          <w:color w:val="231F20"/>
          <w:sz w:val="16"/>
          <w:szCs w:val="16"/>
        </w:rPr>
        <w:t xml:space="preserve">. 2001 Feb 1;17(2):168–74. http://doi.org/10.1183/0903 1936.01.17201680.  </w:t>
      </w:r>
    </w:p>
    <w:p w14:paraId="000000AA" w14:textId="77777777" w:rsidR="005534B5" w:rsidRDefault="006C3692">
      <w:pPr>
        <w:widowControl w:val="0"/>
        <w:pBdr>
          <w:top w:val="nil"/>
          <w:left w:val="nil"/>
          <w:bottom w:val="nil"/>
          <w:right w:val="nil"/>
          <w:between w:val="nil"/>
        </w:pBdr>
        <w:spacing w:before="3" w:line="222" w:lineRule="auto"/>
        <w:ind w:left="923" w:hanging="278"/>
        <w:jc w:val="both"/>
        <w:rPr>
          <w:color w:val="231F20"/>
          <w:sz w:val="16"/>
          <w:szCs w:val="16"/>
        </w:rPr>
      </w:pPr>
      <w:r>
        <w:rPr>
          <w:color w:val="231F20"/>
          <w:sz w:val="16"/>
          <w:szCs w:val="16"/>
        </w:rPr>
        <w:t xml:space="preserve">15. Hyatt RE, Scanlon PD, Nakamura M. Interpretation </w:t>
      </w:r>
      <w:proofErr w:type="gramStart"/>
      <w:r>
        <w:rPr>
          <w:color w:val="231F20"/>
          <w:sz w:val="16"/>
          <w:szCs w:val="16"/>
        </w:rPr>
        <w:t>of  Pulmonary</w:t>
      </w:r>
      <w:proofErr w:type="gramEnd"/>
      <w:r>
        <w:rPr>
          <w:color w:val="231F20"/>
          <w:sz w:val="16"/>
          <w:szCs w:val="16"/>
        </w:rPr>
        <w:t xml:space="preserve"> Function Tests. Lippincott Williams &amp; Wilkins; </w:t>
      </w:r>
      <w:proofErr w:type="gramStart"/>
      <w:r>
        <w:rPr>
          <w:color w:val="231F20"/>
          <w:sz w:val="16"/>
          <w:szCs w:val="16"/>
        </w:rPr>
        <w:t>2014;  p.</w:t>
      </w:r>
      <w:proofErr w:type="gramEnd"/>
      <w:r>
        <w:rPr>
          <w:color w:val="231F20"/>
          <w:sz w:val="16"/>
          <w:szCs w:val="16"/>
        </w:rPr>
        <w:t xml:space="preserve"> 41.  </w:t>
      </w:r>
    </w:p>
    <w:p w14:paraId="000000AB" w14:textId="77777777" w:rsidR="005534B5" w:rsidRDefault="006C3692">
      <w:pPr>
        <w:widowControl w:val="0"/>
        <w:pBdr>
          <w:top w:val="nil"/>
          <w:left w:val="nil"/>
          <w:bottom w:val="nil"/>
          <w:right w:val="nil"/>
          <w:between w:val="nil"/>
        </w:pBdr>
        <w:spacing w:before="3" w:line="235" w:lineRule="auto"/>
        <w:ind w:left="911" w:hanging="267"/>
        <w:rPr>
          <w:color w:val="231F20"/>
          <w:sz w:val="16"/>
          <w:szCs w:val="16"/>
        </w:rPr>
      </w:pPr>
      <w:r>
        <w:rPr>
          <w:color w:val="231F20"/>
          <w:sz w:val="16"/>
          <w:szCs w:val="16"/>
        </w:rPr>
        <w:t>16. Coghlan JG, Denton CP, Gr</w:t>
      </w:r>
      <w:r>
        <w:rPr>
          <w:rFonts w:ascii="Times New Roman" w:eastAsia="Times New Roman" w:hAnsi="Times New Roman" w:cs="Times New Roman"/>
          <w:color w:val="231F20"/>
          <w:sz w:val="16"/>
          <w:szCs w:val="16"/>
        </w:rPr>
        <w:t>ü</w:t>
      </w:r>
      <w:r>
        <w:rPr>
          <w:color w:val="231F20"/>
          <w:sz w:val="16"/>
          <w:szCs w:val="16"/>
        </w:rPr>
        <w:t xml:space="preserve">nig E, Bonderman D, Distler </w:t>
      </w:r>
      <w:proofErr w:type="gramStart"/>
      <w:r>
        <w:rPr>
          <w:color w:val="231F20"/>
          <w:sz w:val="16"/>
          <w:szCs w:val="16"/>
        </w:rPr>
        <w:t>O,  Khanna</w:t>
      </w:r>
      <w:proofErr w:type="gramEnd"/>
      <w:r>
        <w:rPr>
          <w:color w:val="231F20"/>
          <w:sz w:val="16"/>
          <w:szCs w:val="16"/>
        </w:rPr>
        <w:t xml:space="preserve"> D, et al. Evidence-based detection of pulmonary arte rial</w:t>
      </w:r>
      <w:r>
        <w:rPr>
          <w:color w:val="231F20"/>
          <w:sz w:val="16"/>
          <w:szCs w:val="16"/>
        </w:rPr>
        <w:t xml:space="preserve"> hypertension in systemic sclerosis: the DETECT study.  Annals of the Rheumatic Diseases [Internet]. 2014 </w:t>
      </w:r>
      <w:proofErr w:type="gramStart"/>
      <w:r>
        <w:rPr>
          <w:color w:val="231F20"/>
          <w:sz w:val="16"/>
          <w:szCs w:val="16"/>
        </w:rPr>
        <w:t>Jul  1</w:t>
      </w:r>
      <w:proofErr w:type="gramEnd"/>
      <w:r>
        <w:rPr>
          <w:color w:val="231F20"/>
          <w:sz w:val="16"/>
          <w:szCs w:val="16"/>
        </w:rPr>
        <w:t xml:space="preserve">;73(7):1340–9. Available from: https://ard.bmj.com/con tent/73/7/1340 http://doi.org/10.1136/annrheum dis-2013-203301.  </w:t>
      </w:r>
    </w:p>
    <w:p w14:paraId="000000AC" w14:textId="77777777" w:rsidR="005534B5" w:rsidRDefault="006C3692">
      <w:pPr>
        <w:widowControl w:val="0"/>
        <w:pBdr>
          <w:top w:val="nil"/>
          <w:left w:val="nil"/>
          <w:bottom w:val="nil"/>
          <w:right w:val="nil"/>
          <w:between w:val="nil"/>
        </w:pBdr>
        <w:spacing w:line="227" w:lineRule="auto"/>
        <w:ind w:left="912" w:hanging="268"/>
        <w:jc w:val="both"/>
        <w:rPr>
          <w:color w:val="231F20"/>
          <w:sz w:val="16"/>
          <w:szCs w:val="16"/>
        </w:rPr>
      </w:pPr>
      <w:r>
        <w:rPr>
          <w:color w:val="231F20"/>
          <w:sz w:val="16"/>
          <w:szCs w:val="16"/>
        </w:rPr>
        <w:t>17. Allanore Y, Borderi</w:t>
      </w:r>
      <w:r>
        <w:rPr>
          <w:color w:val="231F20"/>
          <w:sz w:val="16"/>
          <w:szCs w:val="16"/>
        </w:rPr>
        <w:t xml:space="preserve">e D, Avouac J, Zerkak D, Meune C, </w:t>
      </w:r>
      <w:proofErr w:type="gramStart"/>
      <w:r>
        <w:rPr>
          <w:color w:val="231F20"/>
          <w:sz w:val="16"/>
          <w:szCs w:val="16"/>
        </w:rPr>
        <w:t>Hachulla  E</w:t>
      </w:r>
      <w:proofErr w:type="gramEnd"/>
      <w:r>
        <w:rPr>
          <w:color w:val="231F20"/>
          <w:sz w:val="16"/>
          <w:szCs w:val="16"/>
        </w:rPr>
        <w:t>, et al. High N-terminal pro-brain natriuretic peptide levels  and low diffusing capacity for carbon monoxide as indepen dent predictors of the occurrence of precapillary pulmonary  arterial hypertension in pati</w:t>
      </w:r>
      <w:r>
        <w:rPr>
          <w:color w:val="231F20"/>
          <w:sz w:val="16"/>
          <w:szCs w:val="16"/>
        </w:rPr>
        <w:t xml:space="preserve">ents with systemic sclerosis.  Arthritis &amp; Rheumatism. 2007;58(1):284–91. http://doi. </w:t>
      </w:r>
    </w:p>
    <w:p w14:paraId="000000AD" w14:textId="77777777" w:rsidR="005534B5" w:rsidRDefault="006C3692">
      <w:pPr>
        <w:widowControl w:val="0"/>
        <w:pBdr>
          <w:top w:val="nil"/>
          <w:left w:val="nil"/>
          <w:bottom w:val="nil"/>
          <w:right w:val="nil"/>
          <w:between w:val="nil"/>
        </w:pBdr>
        <w:spacing w:line="240" w:lineRule="auto"/>
        <w:ind w:left="917"/>
        <w:rPr>
          <w:color w:val="231F20"/>
          <w:sz w:val="16"/>
          <w:szCs w:val="16"/>
        </w:rPr>
      </w:pPr>
      <w:r>
        <w:rPr>
          <w:color w:val="231F20"/>
          <w:sz w:val="16"/>
          <w:szCs w:val="16"/>
        </w:rPr>
        <w:t xml:space="preserve">org/10.1002/art.23187. </w:t>
      </w:r>
    </w:p>
    <w:p w14:paraId="000000AE" w14:textId="77777777" w:rsidR="005534B5" w:rsidRDefault="006C3692">
      <w:pPr>
        <w:widowControl w:val="0"/>
        <w:pBdr>
          <w:top w:val="nil"/>
          <w:left w:val="nil"/>
          <w:bottom w:val="nil"/>
          <w:right w:val="nil"/>
          <w:between w:val="nil"/>
        </w:pBdr>
        <w:spacing w:line="238" w:lineRule="auto"/>
        <w:ind w:left="911" w:hanging="267"/>
        <w:rPr>
          <w:color w:val="231F20"/>
          <w:sz w:val="16"/>
          <w:szCs w:val="16"/>
        </w:rPr>
      </w:pPr>
      <w:r>
        <w:rPr>
          <w:color w:val="231F20"/>
          <w:sz w:val="16"/>
          <w:szCs w:val="16"/>
        </w:rPr>
        <w:t xml:space="preserve">18. Khanna D, Gladue H, Channick R, Chung L, Distler O, </w:t>
      </w:r>
      <w:r>
        <w:rPr>
          <w:color w:val="231F20"/>
          <w:sz w:val="16"/>
          <w:szCs w:val="16"/>
        </w:rPr>
        <w:lastRenderedPageBreak/>
        <w:t xml:space="preserve">Furst </w:t>
      </w:r>
      <w:proofErr w:type="gramStart"/>
      <w:r>
        <w:rPr>
          <w:color w:val="231F20"/>
          <w:sz w:val="16"/>
          <w:szCs w:val="16"/>
        </w:rPr>
        <w:t>DE,  et al.</w:t>
      </w:r>
      <w:proofErr w:type="gramEnd"/>
      <w:r>
        <w:rPr>
          <w:color w:val="231F20"/>
          <w:sz w:val="16"/>
          <w:szCs w:val="16"/>
        </w:rPr>
        <w:t xml:space="preserve"> Recommendations for screening and detection of con nective tissue disease-associated pulmonary arterial hyper tension: Pulmonary hypertension in connective tissue diseas es. Arthriti</w:t>
      </w:r>
      <w:r>
        <w:rPr>
          <w:color w:val="231F20"/>
          <w:sz w:val="16"/>
          <w:szCs w:val="16"/>
        </w:rPr>
        <w:t xml:space="preserve">s Rheum [Internet]. 2013;65(12):3194–201.  Available from: http://doi.org/10.1002/art.38172  </w:t>
      </w:r>
    </w:p>
    <w:p w14:paraId="000000AF" w14:textId="77777777" w:rsidR="005534B5" w:rsidRDefault="006C3692">
      <w:pPr>
        <w:widowControl w:val="0"/>
        <w:pBdr>
          <w:top w:val="nil"/>
          <w:left w:val="nil"/>
          <w:bottom w:val="nil"/>
          <w:right w:val="nil"/>
          <w:between w:val="nil"/>
        </w:pBdr>
        <w:spacing w:before="13" w:line="229" w:lineRule="auto"/>
        <w:ind w:left="917" w:hanging="273"/>
        <w:rPr>
          <w:color w:val="231F20"/>
          <w:sz w:val="16"/>
          <w:szCs w:val="16"/>
        </w:rPr>
      </w:pPr>
      <w:r>
        <w:rPr>
          <w:color w:val="231F20"/>
          <w:sz w:val="16"/>
          <w:szCs w:val="16"/>
        </w:rPr>
        <w:t xml:space="preserve">19. Chandra S, Shah SJ, Thenappan T, Archer SL, Rich S, Gomberg Maitland M. Carbon monoxide diffusing capacity and mortal ity in pulmonary arterial hypertension. </w:t>
      </w:r>
      <w:r>
        <w:rPr>
          <w:color w:val="231F20"/>
          <w:sz w:val="16"/>
          <w:szCs w:val="16"/>
        </w:rPr>
        <w:t xml:space="preserve">The Journal of </w:t>
      </w:r>
      <w:proofErr w:type="gramStart"/>
      <w:r>
        <w:rPr>
          <w:color w:val="231F20"/>
          <w:sz w:val="16"/>
          <w:szCs w:val="16"/>
        </w:rPr>
        <w:t>Heart  and</w:t>
      </w:r>
      <w:proofErr w:type="gramEnd"/>
      <w:r>
        <w:rPr>
          <w:color w:val="231F20"/>
          <w:sz w:val="16"/>
          <w:szCs w:val="16"/>
        </w:rPr>
        <w:t xml:space="preserve"> Lung Transplantation. 2010 Feb;29(2):181–7. http://doi. org/10.1016/j.healun.2009.07.005.  </w:t>
      </w:r>
    </w:p>
    <w:p w14:paraId="000000B0" w14:textId="77777777" w:rsidR="005534B5" w:rsidRDefault="006C3692">
      <w:pPr>
        <w:widowControl w:val="0"/>
        <w:pBdr>
          <w:top w:val="nil"/>
          <w:left w:val="nil"/>
          <w:bottom w:val="nil"/>
          <w:right w:val="nil"/>
          <w:between w:val="nil"/>
        </w:pBdr>
        <w:spacing w:line="227" w:lineRule="auto"/>
        <w:ind w:left="917" w:hanging="282"/>
        <w:rPr>
          <w:color w:val="231F20"/>
          <w:sz w:val="16"/>
          <w:szCs w:val="16"/>
        </w:rPr>
      </w:pPr>
      <w:r>
        <w:rPr>
          <w:color w:val="231F20"/>
          <w:sz w:val="16"/>
          <w:szCs w:val="16"/>
        </w:rPr>
        <w:t xml:space="preserve">20. Trip P, Nossent EJ, de Man FS, van den Berk IAH, Boonstra </w:t>
      </w:r>
      <w:proofErr w:type="gramStart"/>
      <w:r>
        <w:rPr>
          <w:color w:val="231F20"/>
          <w:sz w:val="16"/>
          <w:szCs w:val="16"/>
        </w:rPr>
        <w:t>A,  Groepenhoff</w:t>
      </w:r>
      <w:proofErr w:type="gramEnd"/>
      <w:r>
        <w:rPr>
          <w:color w:val="231F20"/>
          <w:sz w:val="16"/>
          <w:szCs w:val="16"/>
        </w:rPr>
        <w:t xml:space="preserve"> H, et al. Severely reduced diffusion capacity in  idiopathic pulmonary arterial hypertension: patient character istics and treatment responses. European Respiratory Journal.  201</w:t>
      </w:r>
      <w:r>
        <w:rPr>
          <w:color w:val="231F20"/>
          <w:sz w:val="16"/>
          <w:szCs w:val="16"/>
        </w:rPr>
        <w:t xml:space="preserve">3 Aug 15;42(6):1575–85. http://doi. org/10.1183/09031936.00184412.  </w:t>
      </w:r>
    </w:p>
    <w:p w14:paraId="000000B1" w14:textId="77777777" w:rsidR="005534B5" w:rsidRDefault="006C3692">
      <w:pPr>
        <w:widowControl w:val="0"/>
        <w:pBdr>
          <w:top w:val="nil"/>
          <w:left w:val="nil"/>
          <w:bottom w:val="nil"/>
          <w:right w:val="nil"/>
          <w:between w:val="nil"/>
        </w:pBdr>
        <w:spacing w:line="222" w:lineRule="auto"/>
        <w:ind w:left="922" w:hanging="287"/>
        <w:jc w:val="both"/>
        <w:rPr>
          <w:color w:val="231F20"/>
          <w:sz w:val="16"/>
          <w:szCs w:val="16"/>
        </w:rPr>
      </w:pPr>
      <w:r>
        <w:rPr>
          <w:color w:val="231F20"/>
          <w:sz w:val="16"/>
          <w:szCs w:val="16"/>
        </w:rPr>
        <w:t xml:space="preserve">21. Benza RL, Gomberg-Maitland M, Miller DP, Frost A, Frantz </w:t>
      </w:r>
      <w:proofErr w:type="gramStart"/>
      <w:r>
        <w:rPr>
          <w:color w:val="231F20"/>
          <w:sz w:val="16"/>
          <w:szCs w:val="16"/>
        </w:rPr>
        <w:t>RP,  Foreman</w:t>
      </w:r>
      <w:proofErr w:type="gramEnd"/>
      <w:r>
        <w:rPr>
          <w:color w:val="231F20"/>
          <w:sz w:val="16"/>
          <w:szCs w:val="16"/>
        </w:rPr>
        <w:t xml:space="preserve"> AJ, et al. The REVEAL Registry Risk Score </w:t>
      </w:r>
      <w:proofErr w:type="gramStart"/>
      <w:r>
        <w:rPr>
          <w:color w:val="231F20"/>
          <w:sz w:val="16"/>
          <w:szCs w:val="16"/>
        </w:rPr>
        <w:t>Calculator  in</w:t>
      </w:r>
      <w:proofErr w:type="gramEnd"/>
      <w:r>
        <w:rPr>
          <w:color w:val="231F20"/>
          <w:sz w:val="16"/>
          <w:szCs w:val="16"/>
        </w:rPr>
        <w:t xml:space="preserve"> Patients Newly Diagnosed With Pulmonary Arterial  Hypert</w:t>
      </w:r>
      <w:r>
        <w:rPr>
          <w:color w:val="231F20"/>
          <w:sz w:val="16"/>
          <w:szCs w:val="16"/>
        </w:rPr>
        <w:t xml:space="preserve">ension. Chest. 2012 Feb;141(2):354–62. http://doi. </w:t>
      </w:r>
    </w:p>
    <w:p w14:paraId="000000B2" w14:textId="77777777" w:rsidR="005534B5" w:rsidRDefault="006C3692">
      <w:pPr>
        <w:widowControl w:val="0"/>
        <w:pBdr>
          <w:top w:val="nil"/>
          <w:left w:val="nil"/>
          <w:bottom w:val="nil"/>
          <w:right w:val="nil"/>
          <w:between w:val="nil"/>
        </w:pBdr>
        <w:spacing w:before="3" w:line="240" w:lineRule="auto"/>
        <w:ind w:left="917"/>
        <w:rPr>
          <w:color w:val="231F20"/>
          <w:sz w:val="16"/>
          <w:szCs w:val="16"/>
        </w:rPr>
      </w:pPr>
      <w:r>
        <w:rPr>
          <w:color w:val="231F20"/>
          <w:sz w:val="16"/>
          <w:szCs w:val="16"/>
        </w:rPr>
        <w:t xml:space="preserve">org/10.1378/chest.11-0676.  </w:t>
      </w:r>
    </w:p>
    <w:p w14:paraId="000000B3" w14:textId="77777777" w:rsidR="005534B5" w:rsidRDefault="006C3692">
      <w:pPr>
        <w:widowControl w:val="0"/>
        <w:pBdr>
          <w:top w:val="nil"/>
          <w:left w:val="nil"/>
          <w:bottom w:val="nil"/>
          <w:right w:val="nil"/>
          <w:between w:val="nil"/>
        </w:pBdr>
        <w:spacing w:line="222" w:lineRule="auto"/>
        <w:ind w:left="916" w:hanging="281"/>
        <w:jc w:val="both"/>
        <w:rPr>
          <w:color w:val="231F20"/>
          <w:sz w:val="16"/>
          <w:szCs w:val="16"/>
        </w:rPr>
      </w:pPr>
      <w:r>
        <w:rPr>
          <w:color w:val="231F20"/>
          <w:sz w:val="16"/>
          <w:szCs w:val="16"/>
        </w:rPr>
        <w:t xml:space="preserve">22. Benza RL, Farber HW, Frost A, Hossein-Ardeschir </w:t>
      </w:r>
      <w:proofErr w:type="gramStart"/>
      <w:r>
        <w:rPr>
          <w:color w:val="231F20"/>
          <w:sz w:val="16"/>
          <w:szCs w:val="16"/>
        </w:rPr>
        <w:t>Ghofrani,  G</w:t>
      </w:r>
      <w:r>
        <w:rPr>
          <w:rFonts w:ascii="Times New Roman" w:eastAsia="Times New Roman" w:hAnsi="Times New Roman" w:cs="Times New Roman"/>
          <w:color w:val="231F20"/>
          <w:sz w:val="16"/>
          <w:szCs w:val="16"/>
        </w:rPr>
        <w:t>ó</w:t>
      </w:r>
      <w:r>
        <w:rPr>
          <w:color w:val="231F20"/>
          <w:sz w:val="16"/>
          <w:szCs w:val="16"/>
        </w:rPr>
        <w:t>mez</w:t>
      </w:r>
      <w:proofErr w:type="gramEnd"/>
      <w:r>
        <w:rPr>
          <w:color w:val="231F20"/>
          <w:sz w:val="16"/>
          <w:szCs w:val="16"/>
        </w:rPr>
        <w:t>-S</w:t>
      </w:r>
      <w:r>
        <w:rPr>
          <w:rFonts w:ascii="Times New Roman" w:eastAsia="Times New Roman" w:hAnsi="Times New Roman" w:cs="Times New Roman"/>
          <w:color w:val="231F20"/>
          <w:sz w:val="16"/>
          <w:szCs w:val="16"/>
        </w:rPr>
        <w:t>á</w:t>
      </w:r>
      <w:r>
        <w:rPr>
          <w:color w:val="231F20"/>
          <w:sz w:val="16"/>
          <w:szCs w:val="16"/>
        </w:rPr>
        <w:t xml:space="preserve">nchez MA, Langleben D, et al. REVEAL risk scores  applied to riociguat-treated patients in PATENT-2: </w:t>
      </w:r>
      <w:r>
        <w:rPr>
          <w:color w:val="231F20"/>
          <w:sz w:val="16"/>
          <w:szCs w:val="16"/>
        </w:rPr>
        <w:lastRenderedPageBreak/>
        <w:t xml:space="preserve">Impact of  changes in risk score on survival. The Journal of Heart </w:t>
      </w:r>
      <w:proofErr w:type="gramStart"/>
      <w:r>
        <w:rPr>
          <w:color w:val="231F20"/>
          <w:sz w:val="16"/>
          <w:szCs w:val="16"/>
        </w:rPr>
        <w:t>and  Lung</w:t>
      </w:r>
      <w:proofErr w:type="gramEnd"/>
      <w:r>
        <w:rPr>
          <w:color w:val="231F20"/>
          <w:sz w:val="16"/>
          <w:szCs w:val="16"/>
        </w:rPr>
        <w:t xml:space="preserve"> Transplantation. 2018 Apr 1;37(4):513–9. http://doi. </w:t>
      </w:r>
    </w:p>
    <w:p w14:paraId="000000B4" w14:textId="77777777" w:rsidR="005534B5" w:rsidRDefault="006C3692">
      <w:pPr>
        <w:widowControl w:val="0"/>
        <w:pBdr>
          <w:top w:val="nil"/>
          <w:left w:val="nil"/>
          <w:bottom w:val="nil"/>
          <w:right w:val="nil"/>
          <w:between w:val="nil"/>
        </w:pBdr>
        <w:spacing w:before="3" w:line="240" w:lineRule="auto"/>
        <w:ind w:left="917"/>
        <w:rPr>
          <w:color w:val="231F20"/>
          <w:sz w:val="16"/>
          <w:szCs w:val="16"/>
        </w:rPr>
      </w:pPr>
      <w:r>
        <w:rPr>
          <w:color w:val="231F20"/>
          <w:sz w:val="16"/>
          <w:szCs w:val="16"/>
        </w:rPr>
        <w:t>org/10.1016/j.healun.201</w:t>
      </w:r>
      <w:r>
        <w:rPr>
          <w:color w:val="231F20"/>
          <w:sz w:val="16"/>
          <w:szCs w:val="16"/>
        </w:rPr>
        <w:t xml:space="preserve">7.11.006.  </w:t>
      </w:r>
    </w:p>
    <w:p w14:paraId="000000B5" w14:textId="77777777" w:rsidR="005534B5" w:rsidRDefault="006C3692">
      <w:pPr>
        <w:widowControl w:val="0"/>
        <w:pBdr>
          <w:top w:val="nil"/>
          <w:left w:val="nil"/>
          <w:bottom w:val="nil"/>
          <w:right w:val="nil"/>
          <w:between w:val="nil"/>
        </w:pBdr>
        <w:spacing w:line="222" w:lineRule="auto"/>
        <w:ind w:left="918" w:hanging="283"/>
        <w:jc w:val="both"/>
        <w:rPr>
          <w:color w:val="231F20"/>
          <w:sz w:val="16"/>
          <w:szCs w:val="16"/>
        </w:rPr>
      </w:pPr>
      <w:r>
        <w:rPr>
          <w:color w:val="231F20"/>
          <w:sz w:val="16"/>
          <w:szCs w:val="16"/>
        </w:rPr>
        <w:t xml:space="preserve">23. Benza RL, Gomberg-Maitland M, Elliott CG, Farber </w:t>
      </w:r>
      <w:proofErr w:type="gramStart"/>
      <w:r>
        <w:rPr>
          <w:color w:val="231F20"/>
          <w:sz w:val="16"/>
          <w:szCs w:val="16"/>
        </w:rPr>
        <w:t>HW,  Foreman</w:t>
      </w:r>
      <w:proofErr w:type="gramEnd"/>
      <w:r>
        <w:rPr>
          <w:color w:val="231F20"/>
          <w:sz w:val="16"/>
          <w:szCs w:val="16"/>
        </w:rPr>
        <w:t xml:space="preserve"> AJ, Frost AE, et al. Predicting Survival in Patients With  Pulmonary Arterial Hypertension. Chest. 2019 Aug;156(2):323– 37. http://doi.org/10.1016/j.chest.2019.02.004.  </w:t>
      </w:r>
    </w:p>
    <w:p w14:paraId="000000B6" w14:textId="77777777" w:rsidR="005534B5" w:rsidRDefault="006C3692">
      <w:pPr>
        <w:widowControl w:val="0"/>
        <w:pBdr>
          <w:top w:val="nil"/>
          <w:left w:val="nil"/>
          <w:bottom w:val="nil"/>
          <w:right w:val="nil"/>
          <w:between w:val="nil"/>
        </w:pBdr>
        <w:spacing w:before="3" w:line="222" w:lineRule="auto"/>
        <w:ind w:left="918" w:hanging="284"/>
        <w:jc w:val="both"/>
        <w:rPr>
          <w:color w:val="231F20"/>
          <w:sz w:val="16"/>
          <w:szCs w:val="16"/>
        </w:rPr>
      </w:pPr>
      <w:r>
        <w:rPr>
          <w:color w:val="231F20"/>
          <w:sz w:val="16"/>
          <w:szCs w:val="16"/>
        </w:rPr>
        <w:t xml:space="preserve">24. Humbert M, Sitbon O, Chaouat A, Bertocchi M, Habib </w:t>
      </w:r>
      <w:proofErr w:type="gramStart"/>
      <w:r>
        <w:rPr>
          <w:color w:val="231F20"/>
          <w:sz w:val="16"/>
          <w:szCs w:val="16"/>
        </w:rPr>
        <w:t>G,  Gressin</w:t>
      </w:r>
      <w:proofErr w:type="gramEnd"/>
      <w:r>
        <w:rPr>
          <w:color w:val="231F20"/>
          <w:sz w:val="16"/>
          <w:szCs w:val="16"/>
        </w:rPr>
        <w:t xml:space="preserve"> V, et al. Pulmonary arterial hypertension in France:  Results from a national registry. Am J Respir Crit Care </w:t>
      </w:r>
      <w:proofErr w:type="gramStart"/>
      <w:r>
        <w:rPr>
          <w:color w:val="231F20"/>
          <w:sz w:val="16"/>
          <w:szCs w:val="16"/>
        </w:rPr>
        <w:t>Med  [</w:t>
      </w:r>
      <w:proofErr w:type="gramEnd"/>
      <w:r>
        <w:rPr>
          <w:color w:val="231F20"/>
          <w:sz w:val="16"/>
          <w:szCs w:val="16"/>
        </w:rPr>
        <w:t xml:space="preserve">Internet]. 2006;173(9):1023–30. Available from: http://doi. </w:t>
      </w:r>
    </w:p>
    <w:p w14:paraId="000000B7" w14:textId="77777777" w:rsidR="005534B5" w:rsidRDefault="006C3692">
      <w:pPr>
        <w:widowControl w:val="0"/>
        <w:pBdr>
          <w:top w:val="nil"/>
          <w:left w:val="nil"/>
          <w:bottom w:val="nil"/>
          <w:right w:val="nil"/>
          <w:between w:val="nil"/>
        </w:pBdr>
        <w:spacing w:before="3" w:line="240" w:lineRule="auto"/>
        <w:ind w:left="917"/>
        <w:rPr>
          <w:color w:val="231F20"/>
          <w:sz w:val="16"/>
          <w:szCs w:val="16"/>
        </w:rPr>
      </w:pPr>
      <w:r>
        <w:rPr>
          <w:color w:val="231F20"/>
          <w:sz w:val="16"/>
          <w:szCs w:val="16"/>
        </w:rPr>
        <w:t>org/10.1164/</w:t>
      </w:r>
      <w:r>
        <w:rPr>
          <w:color w:val="231F20"/>
          <w:sz w:val="16"/>
          <w:szCs w:val="16"/>
        </w:rPr>
        <w:t xml:space="preserve">rccm.200510-1668oc  </w:t>
      </w:r>
    </w:p>
    <w:p w14:paraId="000000B8" w14:textId="77777777" w:rsidR="005534B5" w:rsidRDefault="006C3692">
      <w:pPr>
        <w:widowControl w:val="0"/>
        <w:pBdr>
          <w:top w:val="nil"/>
          <w:left w:val="nil"/>
          <w:bottom w:val="nil"/>
          <w:right w:val="nil"/>
          <w:between w:val="nil"/>
        </w:pBdr>
        <w:spacing w:line="232" w:lineRule="auto"/>
        <w:ind w:left="911" w:hanging="276"/>
        <w:rPr>
          <w:color w:val="231F20"/>
          <w:sz w:val="16"/>
          <w:szCs w:val="16"/>
        </w:rPr>
      </w:pPr>
      <w:r>
        <w:rPr>
          <w:color w:val="231F20"/>
          <w:sz w:val="16"/>
          <w:szCs w:val="16"/>
        </w:rPr>
        <w:t xml:space="preserve">25. Szturmowicz M, Kacprzak A, Franczuk M, Burakowska </w:t>
      </w:r>
      <w:proofErr w:type="gramStart"/>
      <w:r>
        <w:rPr>
          <w:color w:val="231F20"/>
          <w:sz w:val="16"/>
          <w:szCs w:val="16"/>
        </w:rPr>
        <w:t>B,  Kurzyna</w:t>
      </w:r>
      <w:proofErr w:type="gramEnd"/>
      <w:r>
        <w:rPr>
          <w:color w:val="231F20"/>
          <w:sz w:val="16"/>
          <w:szCs w:val="16"/>
        </w:rPr>
        <w:t xml:space="preserve"> M, Fija</w:t>
      </w:r>
      <w:r>
        <w:rPr>
          <w:rFonts w:ascii="Times New Roman" w:eastAsia="Times New Roman" w:hAnsi="Times New Roman" w:cs="Times New Roman"/>
          <w:color w:val="231F20"/>
          <w:sz w:val="16"/>
          <w:szCs w:val="16"/>
        </w:rPr>
        <w:t>ł</w:t>
      </w:r>
      <w:r>
        <w:rPr>
          <w:color w:val="231F20"/>
          <w:sz w:val="16"/>
          <w:szCs w:val="16"/>
        </w:rPr>
        <w:t xml:space="preserve">kowska A, et al. Low DLCO in idiopathic pul monary arterial hypertension - clinical correlates and prognos tic significance. Pneumonol Alergol Pol [Internet].  2016;84(2):87–94. Available from: http://doi.org/10.5603/ PiAP.2016.0006  </w:t>
      </w:r>
    </w:p>
    <w:p w14:paraId="000000B9" w14:textId="77777777" w:rsidR="005534B5" w:rsidRDefault="006C3692">
      <w:pPr>
        <w:widowControl w:val="0"/>
        <w:pBdr>
          <w:top w:val="nil"/>
          <w:left w:val="nil"/>
          <w:bottom w:val="nil"/>
          <w:right w:val="nil"/>
          <w:between w:val="nil"/>
        </w:pBdr>
        <w:spacing w:line="240" w:lineRule="auto"/>
        <w:jc w:val="right"/>
        <w:rPr>
          <w:color w:val="231F20"/>
          <w:sz w:val="16"/>
          <w:szCs w:val="16"/>
        </w:rPr>
      </w:pPr>
      <w:r>
        <w:rPr>
          <w:color w:val="231F20"/>
          <w:sz w:val="16"/>
          <w:szCs w:val="16"/>
        </w:rPr>
        <w:t>26. Garcia AR, Blanco I, Ramon L, P</w:t>
      </w:r>
      <w:r>
        <w:rPr>
          <w:rFonts w:ascii="Times New Roman" w:eastAsia="Times New Roman" w:hAnsi="Times New Roman" w:cs="Times New Roman"/>
          <w:color w:val="231F20"/>
          <w:sz w:val="16"/>
          <w:szCs w:val="16"/>
        </w:rPr>
        <w:t>é</w:t>
      </w:r>
      <w:r>
        <w:rPr>
          <w:color w:val="231F20"/>
          <w:sz w:val="16"/>
          <w:szCs w:val="16"/>
        </w:rPr>
        <w:t xml:space="preserve">rez-Sagredo J, Guerra-Ramos  </w:t>
      </w:r>
    </w:p>
    <w:p w14:paraId="000000BA" w14:textId="77777777" w:rsidR="005534B5" w:rsidRDefault="006C3692">
      <w:pPr>
        <w:widowControl w:val="0"/>
        <w:pBdr>
          <w:top w:val="nil"/>
          <w:left w:val="nil"/>
          <w:bottom w:val="nil"/>
          <w:right w:val="nil"/>
          <w:between w:val="nil"/>
        </w:pBdr>
        <w:spacing w:before="36" w:line="228" w:lineRule="auto"/>
        <w:ind w:left="711" w:right="18" w:firstLine="13"/>
        <w:rPr>
          <w:color w:val="231F20"/>
          <w:sz w:val="16"/>
          <w:szCs w:val="16"/>
        </w:rPr>
      </w:pPr>
      <w:r>
        <w:rPr>
          <w:color w:val="231F20"/>
          <w:sz w:val="16"/>
          <w:szCs w:val="16"/>
        </w:rPr>
        <w:t>FJ, Mart</w:t>
      </w:r>
      <w:r>
        <w:rPr>
          <w:rFonts w:ascii="Times New Roman" w:eastAsia="Times New Roman" w:hAnsi="Times New Roman" w:cs="Times New Roman"/>
          <w:color w:val="231F20"/>
          <w:sz w:val="16"/>
          <w:szCs w:val="16"/>
        </w:rPr>
        <w:t>í</w:t>
      </w:r>
      <w:r>
        <w:rPr>
          <w:color w:val="231F20"/>
          <w:sz w:val="16"/>
          <w:szCs w:val="16"/>
        </w:rPr>
        <w:t xml:space="preserve">n-Ontiyuelo C, et al. Predictors of the response </w:t>
      </w:r>
      <w:proofErr w:type="gramStart"/>
      <w:r>
        <w:rPr>
          <w:color w:val="231F20"/>
          <w:sz w:val="16"/>
          <w:szCs w:val="16"/>
        </w:rPr>
        <w:t>to  phosphodiesterase</w:t>
      </w:r>
      <w:proofErr w:type="gramEnd"/>
      <w:r>
        <w:rPr>
          <w:color w:val="231F20"/>
          <w:sz w:val="16"/>
          <w:szCs w:val="16"/>
        </w:rPr>
        <w:t xml:space="preserve">-5 inhibitors in pulmonary arterial hyper tension: an analysis of the Spanish registry. Respir </w:t>
      </w:r>
      <w:proofErr w:type="gramStart"/>
      <w:r>
        <w:rPr>
          <w:color w:val="231F20"/>
          <w:sz w:val="16"/>
          <w:szCs w:val="16"/>
        </w:rPr>
        <w:t>Res  [</w:t>
      </w:r>
      <w:proofErr w:type="gramEnd"/>
      <w:r>
        <w:rPr>
          <w:color w:val="231F20"/>
          <w:sz w:val="16"/>
          <w:szCs w:val="16"/>
        </w:rPr>
        <w:t>Internet].</w:t>
      </w:r>
      <w:r>
        <w:rPr>
          <w:color w:val="231F20"/>
          <w:sz w:val="16"/>
          <w:szCs w:val="16"/>
        </w:rPr>
        <w:t xml:space="preserve"> 2023;24(1):223. Available from: http://doi. org/10.1186/s12931-023-02531-1  </w:t>
      </w:r>
    </w:p>
    <w:p w14:paraId="000000BB" w14:textId="77777777" w:rsidR="005534B5" w:rsidRDefault="006C3692">
      <w:pPr>
        <w:widowControl w:val="0"/>
        <w:pBdr>
          <w:top w:val="nil"/>
          <w:left w:val="nil"/>
          <w:bottom w:val="nil"/>
          <w:right w:val="nil"/>
          <w:between w:val="nil"/>
        </w:pBdr>
        <w:spacing w:line="222" w:lineRule="auto"/>
        <w:ind w:left="712" w:right="17" w:hanging="277"/>
        <w:rPr>
          <w:color w:val="231F20"/>
          <w:sz w:val="16"/>
          <w:szCs w:val="16"/>
        </w:rPr>
      </w:pPr>
      <w:r>
        <w:rPr>
          <w:color w:val="231F20"/>
          <w:sz w:val="16"/>
          <w:szCs w:val="16"/>
        </w:rPr>
        <w:t xml:space="preserve">27. Frost A, Badesch D, Gibbs JSR, Gopalan D, Khanna D, </w:t>
      </w:r>
      <w:proofErr w:type="gramStart"/>
      <w:r>
        <w:rPr>
          <w:color w:val="231F20"/>
          <w:sz w:val="16"/>
          <w:szCs w:val="16"/>
        </w:rPr>
        <w:t>Manes  A</w:t>
      </w:r>
      <w:proofErr w:type="gramEnd"/>
      <w:r>
        <w:rPr>
          <w:color w:val="231F20"/>
          <w:sz w:val="16"/>
          <w:szCs w:val="16"/>
        </w:rPr>
        <w:t xml:space="preserve">, et al. Diagnosis of pulmonary hypertension. Eur Respir </w:t>
      </w:r>
      <w:proofErr w:type="gramStart"/>
      <w:r>
        <w:rPr>
          <w:color w:val="231F20"/>
          <w:sz w:val="16"/>
          <w:szCs w:val="16"/>
        </w:rPr>
        <w:t>J  [</w:t>
      </w:r>
      <w:proofErr w:type="gramEnd"/>
      <w:r>
        <w:rPr>
          <w:color w:val="231F20"/>
          <w:sz w:val="16"/>
          <w:szCs w:val="16"/>
        </w:rPr>
        <w:t>Internet]. 2019;53(1):1801904. Available from: http:/</w:t>
      </w:r>
      <w:r>
        <w:rPr>
          <w:color w:val="231F20"/>
          <w:sz w:val="16"/>
          <w:szCs w:val="16"/>
        </w:rPr>
        <w:t xml:space="preserve">/doi. org/10.1183/13993003.01904-2018  </w:t>
      </w:r>
    </w:p>
    <w:p w14:paraId="000000BC" w14:textId="77777777" w:rsidR="005534B5" w:rsidRDefault="006C3692">
      <w:pPr>
        <w:widowControl w:val="0"/>
        <w:pBdr>
          <w:top w:val="nil"/>
          <w:left w:val="nil"/>
          <w:bottom w:val="nil"/>
          <w:right w:val="nil"/>
          <w:between w:val="nil"/>
        </w:pBdr>
        <w:spacing w:before="23" w:line="222" w:lineRule="auto"/>
        <w:ind w:left="712" w:right="18" w:hanging="277"/>
        <w:jc w:val="both"/>
        <w:rPr>
          <w:color w:val="231F20"/>
          <w:sz w:val="16"/>
          <w:szCs w:val="16"/>
        </w:rPr>
      </w:pPr>
      <w:r>
        <w:rPr>
          <w:color w:val="231F20"/>
          <w:sz w:val="16"/>
          <w:szCs w:val="16"/>
        </w:rPr>
        <w:t>28. Unifikovanyi klinichnyi protokol ekstrenoi, pervynnoi, vtoryn noi (spetsializovanoi) ta tretynnoi (</w:t>
      </w:r>
      <w:proofErr w:type="gramStart"/>
      <w:r>
        <w:rPr>
          <w:color w:val="231F20"/>
          <w:sz w:val="16"/>
          <w:szCs w:val="16"/>
        </w:rPr>
        <w:t>vysokospetsializovanoi)  medychnoi</w:t>
      </w:r>
      <w:proofErr w:type="gramEnd"/>
      <w:r>
        <w:rPr>
          <w:color w:val="231F20"/>
          <w:sz w:val="16"/>
          <w:szCs w:val="16"/>
        </w:rPr>
        <w:t xml:space="preserve"> dopomohy (UKPMD) “Leheneva hipertenziia u  doroslykh” zatverdzhenyi nakazom Ministerstva okhorony  zdorov’ya Ukrainy v</w:t>
      </w:r>
      <w:r>
        <w:rPr>
          <w:color w:val="231F20"/>
          <w:sz w:val="16"/>
          <w:szCs w:val="16"/>
        </w:rPr>
        <w:t>id 21 chervnia 2016 roku №614. [</w:t>
      </w:r>
      <w:proofErr w:type="gramStart"/>
      <w:r>
        <w:rPr>
          <w:color w:val="231F20"/>
          <w:sz w:val="16"/>
          <w:szCs w:val="16"/>
        </w:rPr>
        <w:t>Ukrainian]  Available</w:t>
      </w:r>
      <w:proofErr w:type="gramEnd"/>
      <w:r>
        <w:rPr>
          <w:color w:val="231F20"/>
          <w:sz w:val="16"/>
          <w:szCs w:val="16"/>
        </w:rPr>
        <w:t xml:space="preserve"> from: https://moz.gov.ua/uk/nakazi-moz  </w:t>
      </w:r>
    </w:p>
    <w:p w14:paraId="000000BD" w14:textId="77777777" w:rsidR="005534B5" w:rsidRDefault="006C3692">
      <w:pPr>
        <w:widowControl w:val="0"/>
        <w:pBdr>
          <w:top w:val="nil"/>
          <w:left w:val="nil"/>
          <w:bottom w:val="nil"/>
          <w:right w:val="nil"/>
          <w:between w:val="nil"/>
        </w:pBdr>
        <w:spacing w:before="3" w:line="222" w:lineRule="auto"/>
        <w:ind w:left="718" w:right="17" w:hanging="282"/>
        <w:rPr>
          <w:color w:val="231F20"/>
          <w:sz w:val="16"/>
          <w:szCs w:val="16"/>
        </w:rPr>
      </w:pPr>
      <w:r>
        <w:rPr>
          <w:color w:val="231F20"/>
          <w:sz w:val="16"/>
          <w:szCs w:val="16"/>
        </w:rPr>
        <w:t xml:space="preserve">29. American Thoracic Society. ATS Statement: Guidelines for </w:t>
      </w:r>
      <w:proofErr w:type="gramStart"/>
      <w:r>
        <w:rPr>
          <w:color w:val="231F20"/>
          <w:sz w:val="16"/>
          <w:szCs w:val="16"/>
        </w:rPr>
        <w:t>the  Six</w:t>
      </w:r>
      <w:proofErr w:type="gramEnd"/>
      <w:r>
        <w:rPr>
          <w:color w:val="231F20"/>
          <w:sz w:val="16"/>
          <w:szCs w:val="16"/>
        </w:rPr>
        <w:t>-Minute Walk Test. American Journal of Respiratory and  Critical Care Medicine. 2002 Jul;166</w:t>
      </w:r>
      <w:r>
        <w:rPr>
          <w:color w:val="231F20"/>
          <w:sz w:val="16"/>
          <w:szCs w:val="16"/>
        </w:rPr>
        <w:t xml:space="preserve">(1):111–7. http://doi. org/10.1164/ajrccm.166.1.at1102.  </w:t>
      </w:r>
    </w:p>
    <w:p w14:paraId="000000BE" w14:textId="77777777" w:rsidR="005534B5" w:rsidRDefault="006C3692">
      <w:pPr>
        <w:widowControl w:val="0"/>
        <w:pBdr>
          <w:top w:val="nil"/>
          <w:left w:val="nil"/>
          <w:bottom w:val="nil"/>
          <w:right w:val="nil"/>
          <w:between w:val="nil"/>
        </w:pBdr>
        <w:spacing w:before="3" w:line="222" w:lineRule="auto"/>
        <w:ind w:left="716" w:right="18" w:hanging="281"/>
        <w:jc w:val="both"/>
        <w:rPr>
          <w:color w:val="231F20"/>
          <w:sz w:val="16"/>
          <w:szCs w:val="16"/>
        </w:rPr>
      </w:pPr>
      <w:r>
        <w:rPr>
          <w:color w:val="231F20"/>
          <w:sz w:val="16"/>
          <w:szCs w:val="16"/>
        </w:rPr>
        <w:t xml:space="preserve">30. Modi P, Goldin J, Cascella M. Diffusing capacity of the lungs </w:t>
      </w:r>
      <w:proofErr w:type="gramStart"/>
      <w:r>
        <w:rPr>
          <w:color w:val="231F20"/>
          <w:sz w:val="16"/>
          <w:szCs w:val="16"/>
        </w:rPr>
        <w:t>for  carbon</w:t>
      </w:r>
      <w:proofErr w:type="gramEnd"/>
      <w:r>
        <w:rPr>
          <w:color w:val="231F20"/>
          <w:sz w:val="16"/>
          <w:szCs w:val="16"/>
        </w:rPr>
        <w:t xml:space="preserve"> monoxide. In: StatPearls. Treasure Island (FL): </w:t>
      </w:r>
      <w:proofErr w:type="gramStart"/>
      <w:r>
        <w:rPr>
          <w:color w:val="231F20"/>
          <w:sz w:val="16"/>
          <w:szCs w:val="16"/>
        </w:rPr>
        <w:t>StatPearls  Publishing</w:t>
      </w:r>
      <w:proofErr w:type="gramEnd"/>
      <w:r>
        <w:rPr>
          <w:color w:val="231F20"/>
          <w:sz w:val="16"/>
          <w:szCs w:val="16"/>
        </w:rPr>
        <w:t xml:space="preserve">; 2024. https://pubmed.ncbi.nlm.nih.gov/32310609/ </w:t>
      </w:r>
      <w:r>
        <w:rPr>
          <w:color w:val="231F20"/>
          <w:sz w:val="16"/>
          <w:szCs w:val="16"/>
        </w:rPr>
        <w:t xml:space="preserve"> </w:t>
      </w:r>
    </w:p>
    <w:p w14:paraId="000000BF" w14:textId="77777777" w:rsidR="005534B5" w:rsidRDefault="006C3692">
      <w:pPr>
        <w:widowControl w:val="0"/>
        <w:pBdr>
          <w:top w:val="nil"/>
          <w:left w:val="nil"/>
          <w:bottom w:val="nil"/>
          <w:right w:val="nil"/>
          <w:between w:val="nil"/>
        </w:pBdr>
        <w:spacing w:before="3" w:line="222" w:lineRule="auto"/>
        <w:ind w:left="718" w:right="17" w:hanging="282"/>
        <w:rPr>
          <w:color w:val="231F20"/>
          <w:sz w:val="16"/>
          <w:szCs w:val="16"/>
        </w:rPr>
      </w:pPr>
      <w:r>
        <w:rPr>
          <w:color w:val="231F20"/>
          <w:sz w:val="16"/>
          <w:szCs w:val="16"/>
        </w:rPr>
        <w:t xml:space="preserve">31. Meyer FJ. Peripheral airway obstruction in primary </w:t>
      </w:r>
      <w:proofErr w:type="gramStart"/>
      <w:r>
        <w:rPr>
          <w:color w:val="231F20"/>
          <w:sz w:val="16"/>
          <w:szCs w:val="16"/>
        </w:rPr>
        <w:t xml:space="preserve">pulmonary  </w:t>
      </w:r>
      <w:r>
        <w:rPr>
          <w:color w:val="231F20"/>
          <w:sz w:val="16"/>
          <w:szCs w:val="16"/>
        </w:rPr>
        <w:lastRenderedPageBreak/>
        <w:t>hypertension</w:t>
      </w:r>
      <w:proofErr w:type="gramEnd"/>
      <w:r>
        <w:rPr>
          <w:color w:val="231F20"/>
          <w:sz w:val="16"/>
          <w:szCs w:val="16"/>
        </w:rPr>
        <w:t xml:space="preserve">. Thorax. 2002 Jun 1;57(6):473–6. http://doi. org/10.1136/thorax.57.6.473.  </w:t>
      </w:r>
    </w:p>
    <w:p w14:paraId="000000C0" w14:textId="77777777" w:rsidR="005534B5" w:rsidRDefault="006C3692">
      <w:pPr>
        <w:widowControl w:val="0"/>
        <w:pBdr>
          <w:top w:val="nil"/>
          <w:left w:val="nil"/>
          <w:bottom w:val="nil"/>
          <w:right w:val="nil"/>
          <w:between w:val="nil"/>
        </w:pBdr>
        <w:spacing w:before="3" w:line="235" w:lineRule="auto"/>
        <w:ind w:left="435" w:right="18"/>
        <w:jc w:val="center"/>
        <w:rPr>
          <w:color w:val="231F20"/>
          <w:sz w:val="16"/>
          <w:szCs w:val="16"/>
        </w:rPr>
      </w:pPr>
      <w:r>
        <w:rPr>
          <w:color w:val="231F20"/>
          <w:sz w:val="16"/>
          <w:szCs w:val="16"/>
        </w:rPr>
        <w:t xml:space="preserve">32. Yanagisawa A, Naito A, Jujo-Sanada T, Tanabe N, Ishida </w:t>
      </w:r>
      <w:proofErr w:type="gramStart"/>
      <w:r>
        <w:rPr>
          <w:color w:val="231F20"/>
          <w:sz w:val="16"/>
          <w:szCs w:val="16"/>
        </w:rPr>
        <w:t>K,  Matsumiya</w:t>
      </w:r>
      <w:proofErr w:type="gramEnd"/>
      <w:r>
        <w:rPr>
          <w:color w:val="231F20"/>
          <w:sz w:val="16"/>
          <w:szCs w:val="16"/>
        </w:rPr>
        <w:t xml:space="preserve"> G, et al. Vascular involvement in chronic thrombo embolic pulmonary hypertension is associated with spirome try obstructive impairment. BMC Pulmonary Medicine. </w:t>
      </w:r>
      <w:proofErr w:type="gramStart"/>
      <w:r>
        <w:rPr>
          <w:color w:val="231F20"/>
          <w:sz w:val="16"/>
          <w:szCs w:val="16"/>
        </w:rPr>
        <w:t>2021  Dec</w:t>
      </w:r>
      <w:proofErr w:type="gramEnd"/>
      <w:r>
        <w:rPr>
          <w:color w:val="231F20"/>
          <w:sz w:val="16"/>
          <w:szCs w:val="16"/>
        </w:rPr>
        <w:t>;21(1). http:/</w:t>
      </w:r>
      <w:r>
        <w:rPr>
          <w:color w:val="231F20"/>
          <w:sz w:val="16"/>
          <w:szCs w:val="16"/>
        </w:rPr>
        <w:t xml:space="preserve">/doi.org/10.1186/s12890-021-01779-x. </w:t>
      </w:r>
    </w:p>
    <w:p w14:paraId="000000C1" w14:textId="77777777" w:rsidR="005534B5" w:rsidRDefault="006C3692">
      <w:pPr>
        <w:widowControl w:val="0"/>
        <w:pBdr>
          <w:top w:val="nil"/>
          <w:left w:val="nil"/>
          <w:bottom w:val="nil"/>
          <w:right w:val="nil"/>
          <w:between w:val="nil"/>
        </w:pBdr>
        <w:spacing w:line="222" w:lineRule="auto"/>
        <w:ind w:left="716" w:right="18" w:hanging="281"/>
        <w:jc w:val="both"/>
        <w:rPr>
          <w:color w:val="231F20"/>
          <w:sz w:val="16"/>
          <w:szCs w:val="16"/>
        </w:rPr>
      </w:pPr>
      <w:r>
        <w:rPr>
          <w:color w:val="231F20"/>
          <w:sz w:val="16"/>
          <w:szCs w:val="16"/>
        </w:rPr>
        <w:t xml:space="preserve">33. Price LC, Wort SJ, Perros F, Dorfm ller P, Huertas A, Montani </w:t>
      </w:r>
      <w:proofErr w:type="gramStart"/>
      <w:r>
        <w:rPr>
          <w:color w:val="231F20"/>
          <w:sz w:val="16"/>
          <w:szCs w:val="16"/>
        </w:rPr>
        <w:t>D,  et al.</w:t>
      </w:r>
      <w:proofErr w:type="gramEnd"/>
      <w:r>
        <w:rPr>
          <w:color w:val="231F20"/>
          <w:sz w:val="16"/>
          <w:szCs w:val="16"/>
        </w:rPr>
        <w:t xml:space="preserve"> Inflammation in Pulmonary Arterial Hypertension.  Chest. 2012 Jan;141(1):210–21. http://doi.org/10.1378/ chest.11-0793. </w:t>
      </w:r>
    </w:p>
    <w:p w14:paraId="000000C2" w14:textId="77777777" w:rsidR="005534B5" w:rsidRDefault="006C3692">
      <w:pPr>
        <w:widowControl w:val="0"/>
        <w:pBdr>
          <w:top w:val="nil"/>
          <w:left w:val="nil"/>
          <w:bottom w:val="nil"/>
          <w:right w:val="nil"/>
          <w:between w:val="nil"/>
        </w:pBdr>
        <w:spacing w:before="23" w:line="227" w:lineRule="auto"/>
        <w:ind w:left="712" w:right="17" w:hanging="277"/>
        <w:rPr>
          <w:color w:val="231F20"/>
          <w:sz w:val="16"/>
          <w:szCs w:val="16"/>
        </w:rPr>
      </w:pPr>
      <w:r>
        <w:rPr>
          <w:color w:val="231F20"/>
          <w:sz w:val="16"/>
          <w:szCs w:val="16"/>
        </w:rPr>
        <w:t>34. Humbert M, Monti</w:t>
      </w:r>
      <w:r>
        <w:rPr>
          <w:color w:val="231F20"/>
          <w:sz w:val="16"/>
          <w:szCs w:val="16"/>
        </w:rPr>
        <w:t xml:space="preserve"> G, Brenot F, Sitbon O, Portier A, Grangeot Keros L, et al. Increased interleukin-1 and interleukin-6 </w:t>
      </w:r>
      <w:proofErr w:type="gramStart"/>
      <w:r>
        <w:rPr>
          <w:color w:val="231F20"/>
          <w:sz w:val="16"/>
          <w:szCs w:val="16"/>
        </w:rPr>
        <w:t>serum  concentrations</w:t>
      </w:r>
      <w:proofErr w:type="gramEnd"/>
      <w:r>
        <w:rPr>
          <w:color w:val="231F20"/>
          <w:sz w:val="16"/>
          <w:szCs w:val="16"/>
        </w:rPr>
        <w:t xml:space="preserve"> in severe primary pulmonary hypertension.  Am J Respir Crit Care Med [Internet]. 1995;151(5):1628–31.  Available from: http://dx.doi</w:t>
      </w:r>
      <w:r>
        <w:rPr>
          <w:color w:val="231F20"/>
          <w:sz w:val="16"/>
          <w:szCs w:val="16"/>
        </w:rPr>
        <w:t xml:space="preserve">.org/10.1164/ajrc cm.151.5.7735624  </w:t>
      </w:r>
    </w:p>
    <w:p w14:paraId="000000C3" w14:textId="77777777" w:rsidR="005534B5" w:rsidRDefault="006C3692">
      <w:pPr>
        <w:widowControl w:val="0"/>
        <w:pBdr>
          <w:top w:val="nil"/>
          <w:left w:val="nil"/>
          <w:bottom w:val="nil"/>
          <w:right w:val="nil"/>
          <w:between w:val="nil"/>
        </w:pBdr>
        <w:spacing w:line="222" w:lineRule="auto"/>
        <w:ind w:left="718" w:right="17" w:hanging="282"/>
        <w:jc w:val="both"/>
        <w:rPr>
          <w:color w:val="231F20"/>
          <w:sz w:val="16"/>
          <w:szCs w:val="16"/>
        </w:rPr>
      </w:pPr>
      <w:r>
        <w:rPr>
          <w:color w:val="231F20"/>
          <w:sz w:val="16"/>
          <w:szCs w:val="16"/>
        </w:rPr>
        <w:t xml:space="preserve">35. Soon E, Holmes AM, Treacy CM, Doughty NJ, Southgate </w:t>
      </w:r>
      <w:proofErr w:type="gramStart"/>
      <w:r>
        <w:rPr>
          <w:color w:val="231F20"/>
          <w:sz w:val="16"/>
          <w:szCs w:val="16"/>
        </w:rPr>
        <w:t>L,  Machado</w:t>
      </w:r>
      <w:proofErr w:type="gramEnd"/>
      <w:r>
        <w:rPr>
          <w:color w:val="231F20"/>
          <w:sz w:val="16"/>
          <w:szCs w:val="16"/>
        </w:rPr>
        <w:t xml:space="preserve"> RD, et al. Elevated Levels of Inflammatory Cytokines  Predict Survival in Idiopathic and Familial Pulmonary Arterial  Hypertension. Circulation. 2010 Aug 31;122(9):920–7. http:// doi.org/1</w:t>
      </w:r>
      <w:r>
        <w:rPr>
          <w:color w:val="231F20"/>
          <w:sz w:val="16"/>
          <w:szCs w:val="16"/>
        </w:rPr>
        <w:t xml:space="preserve">0.1161/CIRCULATIONAHA.109.933762. </w:t>
      </w:r>
    </w:p>
    <w:p w14:paraId="000000C4" w14:textId="77777777" w:rsidR="005534B5" w:rsidRDefault="006C3692">
      <w:pPr>
        <w:widowControl w:val="0"/>
        <w:pBdr>
          <w:top w:val="nil"/>
          <w:left w:val="nil"/>
          <w:bottom w:val="nil"/>
          <w:right w:val="nil"/>
          <w:between w:val="nil"/>
        </w:pBdr>
        <w:spacing w:before="3" w:line="222" w:lineRule="auto"/>
        <w:ind w:left="712" w:right="18" w:hanging="277"/>
        <w:rPr>
          <w:color w:val="231F20"/>
          <w:sz w:val="16"/>
          <w:szCs w:val="16"/>
        </w:rPr>
      </w:pPr>
      <w:r>
        <w:rPr>
          <w:color w:val="231F20"/>
          <w:sz w:val="16"/>
          <w:szCs w:val="16"/>
        </w:rPr>
        <w:t xml:space="preserve">36. Schober A, Zernecke A. Chemokines in vascular remodeling.  Thromb Haemost. 2007;97(5):730–7. https://pubmed.ncbi. nlm.nih.gov/17479183/ </w:t>
      </w:r>
    </w:p>
    <w:p w14:paraId="000000C5" w14:textId="77777777" w:rsidR="005534B5" w:rsidRDefault="006C3692">
      <w:pPr>
        <w:widowControl w:val="0"/>
        <w:pBdr>
          <w:top w:val="nil"/>
          <w:left w:val="nil"/>
          <w:bottom w:val="nil"/>
          <w:right w:val="nil"/>
          <w:between w:val="nil"/>
        </w:pBdr>
        <w:spacing w:before="3" w:line="228" w:lineRule="auto"/>
        <w:ind w:left="435" w:right="18"/>
        <w:jc w:val="right"/>
        <w:rPr>
          <w:color w:val="231F20"/>
          <w:sz w:val="16"/>
          <w:szCs w:val="16"/>
        </w:rPr>
      </w:pPr>
      <w:r>
        <w:rPr>
          <w:color w:val="231F20"/>
          <w:sz w:val="16"/>
          <w:szCs w:val="16"/>
        </w:rPr>
        <w:t xml:space="preserve">37. Nally JE, McCall R, Young LC, Wakelam MJO, Thomson </w:t>
      </w:r>
      <w:proofErr w:type="gramStart"/>
      <w:r>
        <w:rPr>
          <w:color w:val="231F20"/>
          <w:sz w:val="16"/>
          <w:szCs w:val="16"/>
        </w:rPr>
        <w:t>NC,  McGrath</w:t>
      </w:r>
      <w:proofErr w:type="gramEnd"/>
      <w:r>
        <w:rPr>
          <w:color w:val="231F20"/>
          <w:sz w:val="16"/>
          <w:szCs w:val="16"/>
        </w:rPr>
        <w:t xml:space="preserve"> JC. Mechanic</w:t>
      </w:r>
      <w:r>
        <w:rPr>
          <w:color w:val="231F20"/>
          <w:sz w:val="16"/>
          <w:szCs w:val="16"/>
        </w:rPr>
        <w:t xml:space="preserve">al and biochemical responses to endo thelin-1 and endothelin-3 in human bronchi. </w:t>
      </w:r>
      <w:proofErr w:type="gramStart"/>
      <w:r>
        <w:rPr>
          <w:color w:val="231F20"/>
          <w:sz w:val="16"/>
          <w:szCs w:val="16"/>
        </w:rPr>
        <w:t>European  Journal</w:t>
      </w:r>
      <w:proofErr w:type="gramEnd"/>
      <w:r>
        <w:rPr>
          <w:color w:val="231F20"/>
          <w:sz w:val="16"/>
          <w:szCs w:val="16"/>
        </w:rPr>
        <w:t xml:space="preserve"> of Pharmacology Molecular Pharmacology. 1994 </w:t>
      </w:r>
      <w:proofErr w:type="gramStart"/>
      <w:r>
        <w:rPr>
          <w:color w:val="231F20"/>
          <w:sz w:val="16"/>
          <w:szCs w:val="16"/>
        </w:rPr>
        <w:t>Dec  1</w:t>
      </w:r>
      <w:proofErr w:type="gramEnd"/>
      <w:r>
        <w:rPr>
          <w:color w:val="231F20"/>
          <w:sz w:val="16"/>
          <w:szCs w:val="16"/>
        </w:rPr>
        <w:t xml:space="preserve">;288(1):53–60. http://doi.org/10.1016/0922-4106(94)90009-4. </w:t>
      </w:r>
    </w:p>
    <w:p w14:paraId="000000C6" w14:textId="77777777" w:rsidR="005534B5" w:rsidRDefault="006C3692">
      <w:pPr>
        <w:widowControl w:val="0"/>
        <w:pBdr>
          <w:top w:val="nil"/>
          <w:left w:val="nil"/>
          <w:bottom w:val="nil"/>
          <w:right w:val="nil"/>
          <w:between w:val="nil"/>
        </w:pBdr>
        <w:spacing w:line="222" w:lineRule="auto"/>
        <w:ind w:left="713" w:right="18" w:hanging="278"/>
        <w:jc w:val="both"/>
        <w:rPr>
          <w:color w:val="231F20"/>
          <w:sz w:val="16"/>
          <w:szCs w:val="16"/>
        </w:rPr>
      </w:pPr>
      <w:r>
        <w:rPr>
          <w:color w:val="231F20"/>
          <w:sz w:val="16"/>
          <w:szCs w:val="16"/>
        </w:rPr>
        <w:t xml:space="preserve">38. Arunthari V, Burger CD, Lee AS. Correlation of </w:t>
      </w:r>
      <w:proofErr w:type="gramStart"/>
      <w:r>
        <w:rPr>
          <w:color w:val="231F20"/>
          <w:sz w:val="16"/>
          <w:szCs w:val="16"/>
        </w:rPr>
        <w:t>pulmonary  function</w:t>
      </w:r>
      <w:proofErr w:type="gramEnd"/>
      <w:r>
        <w:rPr>
          <w:color w:val="231F20"/>
          <w:sz w:val="16"/>
          <w:szCs w:val="16"/>
        </w:rPr>
        <w:t xml:space="preserve"> variables with hemodynamic measurements in  patients with pulmonary arterial hypertension. The </w:t>
      </w:r>
      <w:proofErr w:type="gramStart"/>
      <w:r>
        <w:rPr>
          <w:color w:val="231F20"/>
          <w:sz w:val="16"/>
          <w:szCs w:val="16"/>
        </w:rPr>
        <w:t>Clinical  Respiratory</w:t>
      </w:r>
      <w:proofErr w:type="gramEnd"/>
      <w:r>
        <w:rPr>
          <w:color w:val="231F20"/>
          <w:sz w:val="16"/>
          <w:szCs w:val="16"/>
        </w:rPr>
        <w:t xml:space="preserve"> Journal. 2010 Dec 15;5(1):35–43. http://doi. </w:t>
      </w:r>
    </w:p>
    <w:p w14:paraId="000000C7" w14:textId="77777777" w:rsidR="005534B5" w:rsidRDefault="006C3692">
      <w:pPr>
        <w:widowControl w:val="0"/>
        <w:pBdr>
          <w:top w:val="nil"/>
          <w:left w:val="nil"/>
          <w:bottom w:val="nil"/>
          <w:right w:val="nil"/>
          <w:between w:val="nil"/>
        </w:pBdr>
        <w:spacing w:before="3" w:line="240" w:lineRule="auto"/>
        <w:ind w:left="718"/>
        <w:rPr>
          <w:color w:val="231F20"/>
          <w:sz w:val="16"/>
          <w:szCs w:val="16"/>
        </w:rPr>
      </w:pPr>
      <w:r>
        <w:rPr>
          <w:color w:val="231F20"/>
          <w:sz w:val="16"/>
          <w:szCs w:val="16"/>
        </w:rPr>
        <w:t>org/10.1111/j.1752-699</w:t>
      </w:r>
      <w:r>
        <w:rPr>
          <w:color w:val="231F20"/>
          <w:sz w:val="16"/>
          <w:szCs w:val="16"/>
        </w:rPr>
        <w:t>X.</w:t>
      </w:r>
      <w:proofErr w:type="gramStart"/>
      <w:r>
        <w:rPr>
          <w:color w:val="231F20"/>
          <w:sz w:val="16"/>
          <w:szCs w:val="16"/>
        </w:rPr>
        <w:t>2010.00188.x</w:t>
      </w:r>
      <w:proofErr w:type="gramEnd"/>
      <w:r>
        <w:rPr>
          <w:color w:val="231F20"/>
          <w:sz w:val="16"/>
          <w:szCs w:val="16"/>
        </w:rPr>
        <w:t xml:space="preserve">  </w:t>
      </w:r>
    </w:p>
    <w:p w14:paraId="000000C8" w14:textId="77777777" w:rsidR="005534B5" w:rsidRDefault="006C3692">
      <w:pPr>
        <w:widowControl w:val="0"/>
        <w:pBdr>
          <w:top w:val="nil"/>
          <w:left w:val="nil"/>
          <w:bottom w:val="nil"/>
          <w:right w:val="nil"/>
          <w:between w:val="nil"/>
        </w:pBdr>
        <w:spacing w:line="222" w:lineRule="auto"/>
        <w:ind w:left="717" w:right="18" w:hanging="282"/>
        <w:jc w:val="both"/>
        <w:rPr>
          <w:color w:val="231F20"/>
          <w:sz w:val="16"/>
          <w:szCs w:val="16"/>
        </w:rPr>
      </w:pPr>
      <w:r>
        <w:rPr>
          <w:color w:val="231F20"/>
          <w:sz w:val="16"/>
          <w:szCs w:val="16"/>
        </w:rPr>
        <w:t xml:space="preserve">39. Hock J, Willinger L, Pozza RD, Ewert P, Hager A. </w:t>
      </w:r>
      <w:proofErr w:type="gramStart"/>
      <w:r>
        <w:rPr>
          <w:color w:val="231F20"/>
          <w:sz w:val="16"/>
          <w:szCs w:val="16"/>
        </w:rPr>
        <w:t>Abnormalities  in</w:t>
      </w:r>
      <w:proofErr w:type="gramEnd"/>
      <w:r>
        <w:rPr>
          <w:color w:val="231F20"/>
          <w:sz w:val="16"/>
          <w:szCs w:val="16"/>
        </w:rPr>
        <w:t xml:space="preserve"> pulmonary function and volumes in patients with CHD: a  systematic review. Cardiology in the Young. 2023 </w:t>
      </w:r>
      <w:proofErr w:type="gramStart"/>
      <w:r>
        <w:rPr>
          <w:color w:val="231F20"/>
          <w:sz w:val="16"/>
          <w:szCs w:val="16"/>
        </w:rPr>
        <w:t>Jan  5</w:t>
      </w:r>
      <w:proofErr w:type="gramEnd"/>
      <w:r>
        <w:rPr>
          <w:color w:val="231F20"/>
          <w:sz w:val="16"/>
          <w:szCs w:val="16"/>
        </w:rPr>
        <w:t xml:space="preserve">;33(2):169–81. http://doi.org/10.1017/S1047951122004103. </w:t>
      </w:r>
      <w:r>
        <w:rPr>
          <w:color w:val="231F20"/>
          <w:sz w:val="16"/>
          <w:szCs w:val="16"/>
        </w:rPr>
        <w:t xml:space="preserve"> </w:t>
      </w:r>
    </w:p>
    <w:p w14:paraId="000000C9" w14:textId="77777777" w:rsidR="005534B5" w:rsidRDefault="006C3692">
      <w:pPr>
        <w:widowControl w:val="0"/>
        <w:pBdr>
          <w:top w:val="nil"/>
          <w:left w:val="nil"/>
          <w:bottom w:val="nil"/>
          <w:right w:val="nil"/>
          <w:between w:val="nil"/>
        </w:pBdr>
        <w:spacing w:before="23" w:line="230" w:lineRule="auto"/>
        <w:ind w:left="718" w:right="17" w:hanging="288"/>
        <w:rPr>
          <w:color w:val="231F20"/>
          <w:sz w:val="16"/>
          <w:szCs w:val="16"/>
        </w:rPr>
        <w:sectPr w:rsidR="005534B5">
          <w:type w:val="continuous"/>
          <w:pgSz w:w="12180" w:h="16440"/>
          <w:pgMar w:top="1170" w:right="1087" w:bottom="1145" w:left="790" w:header="0" w:footer="720" w:gutter="0"/>
          <w:cols w:num="2" w:space="720" w:equalWidth="0">
            <w:col w:w="5160" w:space="0"/>
            <w:col w:w="5160" w:space="0"/>
          </w:cols>
        </w:sectPr>
      </w:pPr>
      <w:r>
        <w:rPr>
          <w:color w:val="231F20"/>
          <w:sz w:val="16"/>
          <w:szCs w:val="16"/>
        </w:rPr>
        <w:t>40. Hoeper MM, Vonk</w:t>
      </w:r>
      <w:r>
        <w:rPr>
          <w:rFonts w:ascii="Times New Roman" w:eastAsia="Times New Roman" w:hAnsi="Times New Roman" w:cs="Times New Roman"/>
          <w:color w:val="231F20"/>
          <w:sz w:val="16"/>
          <w:szCs w:val="16"/>
        </w:rPr>
        <w:t>‐</w:t>
      </w:r>
      <w:r>
        <w:rPr>
          <w:color w:val="231F20"/>
          <w:sz w:val="16"/>
          <w:szCs w:val="16"/>
        </w:rPr>
        <w:t xml:space="preserve">Noordegraaf A. Is there a vanishing pul monary capillary syndrome? The Lancet Respiratory Medicine.  2017 Sep 1;5(9):676–8. http://doi.org/10.1016/S2213- 2600(17)30291-6. </w:t>
      </w:r>
    </w:p>
    <w:p w14:paraId="000000CA" w14:textId="77777777" w:rsidR="005534B5" w:rsidRDefault="006C3692">
      <w:pPr>
        <w:widowControl w:val="0"/>
        <w:pBdr>
          <w:top w:val="nil"/>
          <w:left w:val="nil"/>
          <w:bottom w:val="nil"/>
          <w:right w:val="nil"/>
          <w:between w:val="nil"/>
        </w:pBdr>
        <w:spacing w:line="479" w:lineRule="auto"/>
        <w:ind w:left="10272" w:right="228" w:hanging="9928"/>
        <w:rPr>
          <w:color w:val="FFFFFF"/>
          <w:sz w:val="18"/>
          <w:szCs w:val="18"/>
        </w:rPr>
      </w:pPr>
      <w:r>
        <w:rPr>
          <w:color w:val="231F20"/>
          <w:sz w:val="36"/>
          <w:szCs w:val="36"/>
          <w:vertAlign w:val="subscript"/>
        </w:rPr>
        <w:lastRenderedPageBreak/>
        <w:t>63</w:t>
      </w:r>
      <w:r>
        <w:rPr>
          <w:color w:val="231F20"/>
        </w:rPr>
        <w:t xml:space="preserve"> </w:t>
      </w:r>
      <w:r>
        <w:rPr>
          <w:color w:val="005769"/>
          <w:sz w:val="14"/>
          <w:szCs w:val="14"/>
        </w:rPr>
        <w:t xml:space="preserve">С.О. Прогонов та співавт. Кардіохірургія та інтервенційна кардіологія. 2024; Том 13, № 3 </w:t>
      </w:r>
      <w:r>
        <w:rPr>
          <w:color w:val="FFFFFF"/>
          <w:sz w:val="30"/>
          <w:szCs w:val="30"/>
          <w:vertAlign w:val="subscript"/>
        </w:rPr>
        <w:t>ОРИГІНАЛЬНІ</w:t>
      </w:r>
      <w:r>
        <w:rPr>
          <w:color w:val="FFFFFF"/>
          <w:sz w:val="18"/>
          <w:szCs w:val="18"/>
        </w:rPr>
        <w:t xml:space="preserve">  </w:t>
      </w:r>
    </w:p>
    <w:p w14:paraId="000000CB" w14:textId="77777777" w:rsidR="005534B5" w:rsidRDefault="006C3692">
      <w:pPr>
        <w:widowControl w:val="0"/>
        <w:pBdr>
          <w:top w:val="nil"/>
          <w:left w:val="nil"/>
          <w:bottom w:val="nil"/>
          <w:right w:val="nil"/>
          <w:between w:val="nil"/>
        </w:pBdr>
        <w:spacing w:line="381" w:lineRule="auto"/>
        <w:ind w:left="10488" w:right="-8" w:hanging="9324"/>
        <w:rPr>
          <w:color w:val="FFFFFF"/>
          <w:sz w:val="18"/>
          <w:szCs w:val="18"/>
        </w:rPr>
      </w:pPr>
      <w:r>
        <w:rPr>
          <w:b/>
          <w:color w:val="231F20"/>
          <w:sz w:val="33"/>
          <w:szCs w:val="33"/>
          <w:vertAlign w:val="subscript"/>
        </w:rPr>
        <w:t>S.O. Progonov</w:t>
      </w:r>
      <w:r>
        <w:rPr>
          <w:b/>
          <w:color w:val="231F20"/>
          <w:sz w:val="33"/>
          <w:szCs w:val="33"/>
          <w:vertAlign w:val="superscript"/>
        </w:rPr>
        <w:t xml:space="preserve"> </w:t>
      </w:r>
      <w:r>
        <w:rPr>
          <w:b/>
          <w:color w:val="231F20"/>
          <w:sz w:val="23"/>
          <w:szCs w:val="23"/>
          <w:vertAlign w:val="superscript"/>
        </w:rPr>
        <w:t>1</w:t>
      </w:r>
      <w:r>
        <w:rPr>
          <w:b/>
          <w:color w:val="231F20"/>
          <w:sz w:val="33"/>
          <w:szCs w:val="33"/>
          <w:vertAlign w:val="subscript"/>
        </w:rPr>
        <w:t>, O.O. Torbas</w:t>
      </w:r>
      <w:r>
        <w:rPr>
          <w:b/>
          <w:color w:val="231F20"/>
          <w:sz w:val="33"/>
          <w:szCs w:val="33"/>
          <w:vertAlign w:val="superscript"/>
        </w:rPr>
        <w:t xml:space="preserve"> </w:t>
      </w:r>
      <w:r>
        <w:rPr>
          <w:b/>
          <w:color w:val="231F20"/>
          <w:sz w:val="23"/>
          <w:szCs w:val="23"/>
          <w:vertAlign w:val="superscript"/>
        </w:rPr>
        <w:t>1</w:t>
      </w:r>
      <w:r>
        <w:rPr>
          <w:b/>
          <w:color w:val="231F20"/>
          <w:sz w:val="33"/>
          <w:szCs w:val="33"/>
          <w:vertAlign w:val="subscript"/>
        </w:rPr>
        <w:t>, S.M. Kushnir</w:t>
      </w:r>
      <w:r>
        <w:rPr>
          <w:b/>
          <w:color w:val="231F20"/>
          <w:sz w:val="33"/>
          <w:szCs w:val="33"/>
          <w:vertAlign w:val="superscript"/>
        </w:rPr>
        <w:t xml:space="preserve"> </w:t>
      </w:r>
      <w:r>
        <w:rPr>
          <w:b/>
          <w:color w:val="231F20"/>
          <w:sz w:val="23"/>
          <w:szCs w:val="23"/>
          <w:vertAlign w:val="superscript"/>
        </w:rPr>
        <w:t>1</w:t>
      </w:r>
      <w:r>
        <w:rPr>
          <w:b/>
          <w:color w:val="231F20"/>
          <w:sz w:val="33"/>
          <w:szCs w:val="33"/>
          <w:vertAlign w:val="subscript"/>
        </w:rPr>
        <w:t>, Yu.M. Sirenko</w:t>
      </w:r>
      <w:r>
        <w:rPr>
          <w:b/>
          <w:color w:val="231F20"/>
          <w:sz w:val="33"/>
          <w:szCs w:val="33"/>
          <w:vertAlign w:val="superscript"/>
        </w:rPr>
        <w:t xml:space="preserve"> </w:t>
      </w:r>
      <w:r>
        <w:rPr>
          <w:b/>
          <w:color w:val="231F20"/>
          <w:sz w:val="23"/>
          <w:szCs w:val="23"/>
          <w:vertAlign w:val="superscript"/>
        </w:rPr>
        <w:t>2</w:t>
      </w:r>
      <w:r>
        <w:rPr>
          <w:b/>
          <w:color w:val="231F20"/>
          <w:sz w:val="33"/>
          <w:szCs w:val="33"/>
          <w:vertAlign w:val="subscript"/>
        </w:rPr>
        <w:t>, G.D. Radchenko</w:t>
      </w:r>
      <w:r>
        <w:rPr>
          <w:b/>
          <w:color w:val="231F20"/>
          <w:sz w:val="20"/>
          <w:szCs w:val="20"/>
        </w:rPr>
        <w:t xml:space="preserve"> </w:t>
      </w:r>
      <w:r>
        <w:rPr>
          <w:b/>
          <w:color w:val="231F20"/>
          <w:sz w:val="14"/>
          <w:szCs w:val="14"/>
        </w:rPr>
        <w:t xml:space="preserve">1 </w:t>
      </w:r>
      <w:r>
        <w:rPr>
          <w:color w:val="FFFFFF"/>
          <w:sz w:val="30"/>
          <w:szCs w:val="30"/>
          <w:vertAlign w:val="subscript"/>
        </w:rPr>
        <w:t>ДОСЛІДЖЕН</w:t>
      </w:r>
      <w:r>
        <w:rPr>
          <w:color w:val="FFFFFF"/>
          <w:sz w:val="30"/>
          <w:szCs w:val="30"/>
          <w:vertAlign w:val="subscript"/>
        </w:rPr>
        <w:lastRenderedPageBreak/>
        <w:t>Н</w:t>
      </w:r>
      <w:r>
        <w:rPr>
          <w:color w:val="FFFFFF"/>
          <w:sz w:val="18"/>
          <w:szCs w:val="18"/>
        </w:rPr>
        <w:t xml:space="preserve">Я </w:t>
      </w:r>
    </w:p>
    <w:p w14:paraId="000000CC" w14:textId="77777777" w:rsidR="005534B5" w:rsidRDefault="006C3692">
      <w:pPr>
        <w:widowControl w:val="0"/>
        <w:pBdr>
          <w:top w:val="nil"/>
          <w:left w:val="nil"/>
          <w:bottom w:val="nil"/>
          <w:right w:val="nil"/>
          <w:between w:val="nil"/>
        </w:pBdr>
        <w:spacing w:line="240" w:lineRule="auto"/>
        <w:ind w:left="1331"/>
        <w:rPr>
          <w:color w:val="231F20"/>
          <w:sz w:val="16"/>
          <w:szCs w:val="16"/>
        </w:rPr>
      </w:pPr>
      <w:r>
        <w:rPr>
          <w:color w:val="231F20"/>
          <w:sz w:val="18"/>
          <w:szCs w:val="18"/>
          <w:vertAlign w:val="superscript"/>
        </w:rPr>
        <w:t xml:space="preserve">1 </w:t>
      </w:r>
      <w:r>
        <w:rPr>
          <w:color w:val="231F20"/>
          <w:sz w:val="16"/>
          <w:szCs w:val="16"/>
        </w:rPr>
        <w:t xml:space="preserve">National Scientific Center «M.D. Strazhesko Institute of Cardiology, Clinical and Regenerative Medicine»  </w:t>
      </w:r>
    </w:p>
    <w:p w14:paraId="000000CD" w14:textId="77777777" w:rsidR="005534B5" w:rsidRDefault="006C3692">
      <w:pPr>
        <w:widowControl w:val="0"/>
        <w:pBdr>
          <w:top w:val="nil"/>
          <w:left w:val="nil"/>
          <w:bottom w:val="nil"/>
          <w:right w:val="nil"/>
          <w:between w:val="nil"/>
        </w:pBdr>
        <w:spacing w:before="9" w:line="240" w:lineRule="auto"/>
        <w:ind w:left="3918"/>
        <w:rPr>
          <w:color w:val="231F20"/>
          <w:sz w:val="16"/>
          <w:szCs w:val="16"/>
        </w:rPr>
      </w:pPr>
      <w:r>
        <w:rPr>
          <w:color w:val="231F20"/>
          <w:sz w:val="16"/>
          <w:szCs w:val="16"/>
        </w:rPr>
        <w:t xml:space="preserve">of NAMS of Ukraine, Kyiv, Ukraine </w:t>
      </w:r>
    </w:p>
    <w:p w14:paraId="000000CE" w14:textId="77777777" w:rsidR="005534B5" w:rsidRDefault="006C3692">
      <w:pPr>
        <w:widowControl w:val="0"/>
        <w:pBdr>
          <w:top w:val="nil"/>
          <w:left w:val="nil"/>
          <w:bottom w:val="nil"/>
          <w:right w:val="nil"/>
          <w:between w:val="nil"/>
        </w:pBdr>
        <w:spacing w:before="9" w:line="240" w:lineRule="auto"/>
        <w:ind w:left="2800"/>
        <w:rPr>
          <w:color w:val="231F20"/>
          <w:sz w:val="16"/>
          <w:szCs w:val="16"/>
        </w:rPr>
      </w:pPr>
      <w:r>
        <w:rPr>
          <w:color w:val="231F20"/>
          <w:sz w:val="18"/>
          <w:szCs w:val="18"/>
          <w:vertAlign w:val="superscript"/>
        </w:rPr>
        <w:t xml:space="preserve">2 </w:t>
      </w:r>
      <w:r>
        <w:rPr>
          <w:color w:val="231F20"/>
          <w:sz w:val="16"/>
          <w:szCs w:val="16"/>
        </w:rPr>
        <w:t xml:space="preserve">Shupyk National Healthcare University of Ukraine, Kyiv, Ukraine </w:t>
      </w:r>
    </w:p>
    <w:p w14:paraId="000000CF" w14:textId="77777777" w:rsidR="005534B5" w:rsidRDefault="006C3692">
      <w:pPr>
        <w:widowControl w:val="0"/>
        <w:pBdr>
          <w:top w:val="nil"/>
          <w:left w:val="nil"/>
          <w:bottom w:val="nil"/>
          <w:right w:val="nil"/>
          <w:between w:val="nil"/>
        </w:pBdr>
        <w:spacing w:before="74" w:line="239" w:lineRule="auto"/>
        <w:ind w:left="835" w:right="1068"/>
        <w:jc w:val="center"/>
        <w:rPr>
          <w:color w:val="231F20"/>
          <w:sz w:val="24"/>
          <w:szCs w:val="24"/>
        </w:rPr>
      </w:pPr>
      <w:r>
        <w:rPr>
          <w:color w:val="231F20"/>
          <w:sz w:val="24"/>
          <w:szCs w:val="24"/>
        </w:rPr>
        <w:t xml:space="preserve">Pulmonary function and lung diffusion capacity in patients with different </w:t>
      </w:r>
      <w:proofErr w:type="gramStart"/>
      <w:r>
        <w:rPr>
          <w:color w:val="231F20"/>
          <w:sz w:val="24"/>
          <w:szCs w:val="24"/>
        </w:rPr>
        <w:t>forms  of</w:t>
      </w:r>
      <w:proofErr w:type="gramEnd"/>
      <w:r>
        <w:rPr>
          <w:color w:val="231F20"/>
          <w:sz w:val="24"/>
          <w:szCs w:val="24"/>
        </w:rPr>
        <w:t xml:space="preserve"> pulmonary hypertension </w:t>
      </w:r>
    </w:p>
    <w:p w14:paraId="000000D0" w14:textId="77777777" w:rsidR="005534B5" w:rsidRDefault="006C3692">
      <w:pPr>
        <w:widowControl w:val="0"/>
        <w:pBdr>
          <w:top w:val="nil"/>
          <w:left w:val="nil"/>
          <w:bottom w:val="nil"/>
          <w:right w:val="nil"/>
          <w:between w:val="nil"/>
        </w:pBdr>
        <w:spacing w:before="133" w:line="266" w:lineRule="auto"/>
        <w:ind w:left="356" w:right="609" w:firstLine="386"/>
        <w:jc w:val="both"/>
        <w:rPr>
          <w:color w:val="231F20"/>
          <w:sz w:val="18"/>
          <w:szCs w:val="18"/>
        </w:rPr>
      </w:pPr>
      <w:r>
        <w:rPr>
          <w:b/>
          <w:color w:val="231F20"/>
          <w:sz w:val="18"/>
          <w:szCs w:val="18"/>
        </w:rPr>
        <w:t xml:space="preserve">The aim </w:t>
      </w:r>
      <w:r>
        <w:rPr>
          <w:color w:val="231F20"/>
          <w:sz w:val="18"/>
          <w:szCs w:val="18"/>
        </w:rPr>
        <w:t xml:space="preserve">– to compare pulmonary function test (PFT) results and diffusion capacity of the lungs for </w:t>
      </w:r>
      <w:proofErr w:type="gramStart"/>
      <w:r>
        <w:rPr>
          <w:color w:val="231F20"/>
          <w:sz w:val="18"/>
          <w:szCs w:val="18"/>
        </w:rPr>
        <w:t>carbon  monoxide</w:t>
      </w:r>
      <w:proofErr w:type="gramEnd"/>
      <w:r>
        <w:rPr>
          <w:color w:val="231F20"/>
          <w:sz w:val="18"/>
          <w:szCs w:val="18"/>
        </w:rPr>
        <w:t xml:space="preserve"> (DLCO) in patients with various </w:t>
      </w:r>
      <w:r>
        <w:rPr>
          <w:color w:val="231F20"/>
          <w:sz w:val="18"/>
          <w:szCs w:val="18"/>
        </w:rPr>
        <w:t xml:space="preserve">forms of pulmonary arterial hypertension (PAH), chronic thromboembolic  pulmonary hypertension (CTEPH) and healthy individuals; to establish correlations between PFT, DLCO and parameters  used to stratify the risk of death in pulmonary hypertension (PH). </w:t>
      </w:r>
    </w:p>
    <w:p w14:paraId="000000D1" w14:textId="77777777" w:rsidR="005534B5" w:rsidRDefault="006C3692">
      <w:pPr>
        <w:widowControl w:val="0"/>
        <w:pBdr>
          <w:top w:val="nil"/>
          <w:left w:val="nil"/>
          <w:bottom w:val="nil"/>
          <w:right w:val="nil"/>
          <w:between w:val="nil"/>
        </w:pBdr>
        <w:spacing w:before="10" w:line="266" w:lineRule="auto"/>
        <w:ind w:left="345" w:right="609" w:firstLine="406"/>
        <w:jc w:val="both"/>
        <w:rPr>
          <w:color w:val="231F20"/>
          <w:sz w:val="18"/>
          <w:szCs w:val="18"/>
        </w:rPr>
      </w:pPr>
      <w:r>
        <w:rPr>
          <w:b/>
          <w:color w:val="231F20"/>
          <w:sz w:val="18"/>
          <w:szCs w:val="18"/>
        </w:rPr>
        <w:t xml:space="preserve">Materials and methods. </w:t>
      </w:r>
      <w:r>
        <w:rPr>
          <w:color w:val="231F20"/>
          <w:sz w:val="18"/>
          <w:szCs w:val="18"/>
        </w:rPr>
        <w:t xml:space="preserve">74 patients were included: 18 with idiopathic PAH (IPAH), 15 with PAH </w:t>
      </w:r>
      <w:proofErr w:type="gramStart"/>
      <w:r>
        <w:rPr>
          <w:color w:val="231F20"/>
          <w:sz w:val="18"/>
          <w:szCs w:val="18"/>
        </w:rPr>
        <w:t>associated  with</w:t>
      </w:r>
      <w:proofErr w:type="gramEnd"/>
      <w:r>
        <w:rPr>
          <w:color w:val="231F20"/>
          <w:sz w:val="18"/>
          <w:szCs w:val="18"/>
        </w:rPr>
        <w:t xml:space="preserve"> congenital heart defects (PAH-CHD), 21 with CTEPH and 20 healthy persons (control group). All </w:t>
      </w:r>
      <w:proofErr w:type="gramStart"/>
      <w:r>
        <w:rPr>
          <w:color w:val="231F20"/>
          <w:sz w:val="18"/>
          <w:szCs w:val="18"/>
        </w:rPr>
        <w:t>participants  underwent</w:t>
      </w:r>
      <w:proofErr w:type="gramEnd"/>
      <w:r>
        <w:rPr>
          <w:color w:val="231F20"/>
          <w:sz w:val="18"/>
          <w:szCs w:val="18"/>
        </w:rPr>
        <w:t xml:space="preserve"> an assessment of PFT (vital </w:t>
      </w:r>
      <w:r>
        <w:rPr>
          <w:color w:val="231F20"/>
          <w:sz w:val="18"/>
          <w:szCs w:val="18"/>
        </w:rPr>
        <w:t>capacity (VC), forced vital capacity (FVC), forced expiratory volume during one  second (FEV1), peak expiratory velocity (PEV), maximum expiratory flow (MEF) 75, MEF-50, MEF-25) and measurement  of DLCO. For all PH patients the standard examinations were p</w:t>
      </w:r>
      <w:r>
        <w:rPr>
          <w:color w:val="231F20"/>
          <w:sz w:val="18"/>
          <w:szCs w:val="18"/>
        </w:rPr>
        <w:t xml:space="preserve">rovided, including N-terminal brain natriuretic </w:t>
      </w:r>
      <w:proofErr w:type="gramStart"/>
      <w:r>
        <w:rPr>
          <w:color w:val="231F20"/>
          <w:sz w:val="18"/>
          <w:szCs w:val="18"/>
        </w:rPr>
        <w:t>peptide  (</w:t>
      </w:r>
      <w:proofErr w:type="gramEnd"/>
      <w:r>
        <w:rPr>
          <w:color w:val="231F20"/>
          <w:sz w:val="18"/>
          <w:szCs w:val="18"/>
        </w:rPr>
        <w:t xml:space="preserve">NT-proBNP) assessment and right heart catheterization.  </w:t>
      </w:r>
    </w:p>
    <w:p w14:paraId="000000D2" w14:textId="77777777" w:rsidR="005534B5" w:rsidRDefault="006C3692">
      <w:pPr>
        <w:widowControl w:val="0"/>
        <w:pBdr>
          <w:top w:val="nil"/>
          <w:left w:val="nil"/>
          <w:bottom w:val="nil"/>
          <w:right w:val="nil"/>
          <w:between w:val="nil"/>
        </w:pBdr>
        <w:spacing w:before="10" w:line="252" w:lineRule="auto"/>
        <w:ind w:left="350" w:right="609" w:firstLine="401"/>
        <w:jc w:val="both"/>
        <w:rPr>
          <w:color w:val="231F20"/>
          <w:sz w:val="18"/>
          <w:szCs w:val="18"/>
        </w:rPr>
      </w:pPr>
      <w:r>
        <w:rPr>
          <w:b/>
          <w:color w:val="231F20"/>
          <w:sz w:val="18"/>
          <w:szCs w:val="18"/>
        </w:rPr>
        <w:t xml:space="preserve">Results. </w:t>
      </w:r>
      <w:r>
        <w:rPr>
          <w:rFonts w:ascii="Arial Unicode MS" w:eastAsia="Arial Unicode MS" w:hAnsi="Arial Unicode MS" w:cs="Arial Unicode MS"/>
          <w:color w:val="231F20"/>
          <w:sz w:val="18"/>
          <w:szCs w:val="18"/>
        </w:rPr>
        <w:t xml:space="preserve">Patients of all PH groups had significantly lower parameters of PFT and DLCO, compared to the </w:t>
      </w:r>
      <w:proofErr w:type="gramStart"/>
      <w:r>
        <w:rPr>
          <w:rFonts w:ascii="Arial Unicode MS" w:eastAsia="Arial Unicode MS" w:hAnsi="Arial Unicode MS" w:cs="Arial Unicode MS"/>
          <w:color w:val="231F20"/>
          <w:sz w:val="18"/>
          <w:szCs w:val="18"/>
        </w:rPr>
        <w:t>control  group</w:t>
      </w:r>
      <w:proofErr w:type="gramEnd"/>
      <w:r>
        <w:rPr>
          <w:rFonts w:ascii="Arial Unicode MS" w:eastAsia="Arial Unicode MS" w:hAnsi="Arial Unicode MS" w:cs="Arial Unicode MS"/>
          <w:color w:val="231F20"/>
          <w:sz w:val="18"/>
          <w:szCs w:val="18"/>
        </w:rPr>
        <w:t xml:space="preserve">. The most pronounced and reliable decrease in PFT was observed among patients with PAH-CHD. The </w:t>
      </w:r>
      <w:proofErr w:type="gramStart"/>
      <w:r>
        <w:rPr>
          <w:rFonts w:ascii="Arial Unicode MS" w:eastAsia="Arial Unicode MS" w:hAnsi="Arial Unicode MS" w:cs="Arial Unicode MS"/>
          <w:color w:val="231F20"/>
          <w:sz w:val="18"/>
          <w:szCs w:val="18"/>
        </w:rPr>
        <w:t>lowest  DLCO</w:t>
      </w:r>
      <w:proofErr w:type="gramEnd"/>
      <w:r>
        <w:rPr>
          <w:rFonts w:ascii="Arial Unicode MS" w:eastAsia="Arial Unicode MS" w:hAnsi="Arial Unicode MS" w:cs="Arial Unicode MS"/>
          <w:color w:val="231F20"/>
          <w:sz w:val="18"/>
          <w:szCs w:val="18"/>
        </w:rPr>
        <w:t xml:space="preserve"> was observed in CTEPH group. PH patien</w:t>
      </w:r>
      <w:r>
        <w:rPr>
          <w:rFonts w:ascii="Arial Unicode MS" w:eastAsia="Arial Unicode MS" w:hAnsi="Arial Unicode MS" w:cs="Arial Unicode MS"/>
          <w:color w:val="231F20"/>
          <w:sz w:val="18"/>
          <w:szCs w:val="18"/>
        </w:rPr>
        <w:t xml:space="preserve">ts with DLCO &lt; 64 %, compared with DLCO ≥ 64 %, had </w:t>
      </w:r>
      <w:proofErr w:type="gramStart"/>
      <w:r>
        <w:rPr>
          <w:rFonts w:ascii="Arial Unicode MS" w:eastAsia="Arial Unicode MS" w:hAnsi="Arial Unicode MS" w:cs="Arial Unicode MS"/>
          <w:color w:val="231F20"/>
          <w:sz w:val="18"/>
          <w:szCs w:val="18"/>
        </w:rPr>
        <w:t>significantly  lower</w:t>
      </w:r>
      <w:proofErr w:type="gramEnd"/>
      <w:r>
        <w:rPr>
          <w:rFonts w:ascii="Arial Unicode MS" w:eastAsia="Arial Unicode MS" w:hAnsi="Arial Unicode MS" w:cs="Arial Unicode MS"/>
          <w:color w:val="231F20"/>
          <w:sz w:val="18"/>
          <w:szCs w:val="18"/>
        </w:rPr>
        <w:t xml:space="preserve"> distance of the 6-minute walk test (6MWT) (p = 0.014), TAPSE (р = 0.015), SpO</w:t>
      </w:r>
      <w:r>
        <w:rPr>
          <w:color w:val="231F20"/>
          <w:sz w:val="21"/>
          <w:szCs w:val="21"/>
          <w:vertAlign w:val="subscript"/>
        </w:rPr>
        <w:t>2</w:t>
      </w:r>
      <w:r>
        <w:rPr>
          <w:color w:val="231F20"/>
          <w:sz w:val="12"/>
          <w:szCs w:val="12"/>
        </w:rPr>
        <w:t xml:space="preserve"> </w:t>
      </w:r>
      <w:r>
        <w:rPr>
          <w:color w:val="231F20"/>
          <w:sz w:val="18"/>
          <w:szCs w:val="18"/>
        </w:rPr>
        <w:t>during pulse oximetry and direct  measurement (p = 0.023 and 0.032, respectively), hemoglobin level (p =</w:t>
      </w:r>
      <w:r>
        <w:rPr>
          <w:color w:val="231F20"/>
          <w:sz w:val="18"/>
          <w:szCs w:val="18"/>
        </w:rPr>
        <w:t xml:space="preserve"> 0.031). They had a significantly higher </w:t>
      </w:r>
      <w:proofErr w:type="gramStart"/>
      <w:r>
        <w:rPr>
          <w:color w:val="231F20"/>
          <w:sz w:val="18"/>
          <w:szCs w:val="18"/>
        </w:rPr>
        <w:t>level  of</w:t>
      </w:r>
      <w:proofErr w:type="gramEnd"/>
      <w:r>
        <w:rPr>
          <w:color w:val="231F20"/>
          <w:sz w:val="18"/>
          <w:szCs w:val="18"/>
        </w:rPr>
        <w:t xml:space="preserve"> NT-proBNP (p = 0.012) and they were somewhat older (p = 0.053). DLCO &lt; 64 % correlated with hemoglobin </w:t>
      </w:r>
      <w:proofErr w:type="gramStart"/>
      <w:r>
        <w:rPr>
          <w:color w:val="231F20"/>
          <w:sz w:val="18"/>
          <w:szCs w:val="18"/>
        </w:rPr>
        <w:t>level  (</w:t>
      </w:r>
      <w:proofErr w:type="gramEnd"/>
      <w:r>
        <w:rPr>
          <w:color w:val="231F20"/>
          <w:sz w:val="18"/>
          <w:szCs w:val="18"/>
        </w:rPr>
        <w:t>r = –0.31, p = 0.022), 6MWT distance (r = –0.35, p = 0.012), SpO</w:t>
      </w:r>
      <w:r>
        <w:rPr>
          <w:color w:val="231F20"/>
          <w:sz w:val="21"/>
          <w:szCs w:val="21"/>
          <w:vertAlign w:val="subscript"/>
        </w:rPr>
        <w:t>2</w:t>
      </w:r>
      <w:r>
        <w:rPr>
          <w:color w:val="231F20"/>
          <w:sz w:val="12"/>
          <w:szCs w:val="12"/>
        </w:rPr>
        <w:t xml:space="preserve"> </w:t>
      </w:r>
      <w:r>
        <w:rPr>
          <w:color w:val="231F20"/>
          <w:sz w:val="18"/>
          <w:szCs w:val="18"/>
        </w:rPr>
        <w:t>(r = –0.29, p = 0.036), TAPS</w:t>
      </w:r>
      <w:r>
        <w:rPr>
          <w:color w:val="231F20"/>
          <w:sz w:val="18"/>
          <w:szCs w:val="18"/>
        </w:rPr>
        <w:t>E (r = –0.34, p = 0.012) and  NT-proBNP (r = 0.27, p = 0.048). Independent predictors of reduced DLCO were hemoglobin level (</w:t>
      </w:r>
      <w:r>
        <w:rPr>
          <w:rFonts w:ascii="Times New Roman" w:eastAsia="Times New Roman" w:hAnsi="Times New Roman" w:cs="Times New Roman"/>
          <w:color w:val="231F20"/>
          <w:sz w:val="18"/>
          <w:szCs w:val="18"/>
        </w:rPr>
        <w:t xml:space="preserve">β </w:t>
      </w:r>
      <w:r>
        <w:rPr>
          <w:color w:val="231F20"/>
          <w:sz w:val="18"/>
          <w:szCs w:val="18"/>
        </w:rPr>
        <w:t>= 0.95, CI 0.90- 0.99), SpO</w:t>
      </w:r>
      <w:r>
        <w:rPr>
          <w:color w:val="231F20"/>
          <w:sz w:val="21"/>
          <w:szCs w:val="21"/>
          <w:vertAlign w:val="subscript"/>
        </w:rPr>
        <w:t>2</w:t>
      </w:r>
      <w:r>
        <w:rPr>
          <w:color w:val="231F20"/>
          <w:sz w:val="12"/>
          <w:szCs w:val="12"/>
        </w:rPr>
        <w:t xml:space="preserve"> </w:t>
      </w:r>
      <w:r>
        <w:rPr>
          <w:color w:val="231F20"/>
          <w:sz w:val="18"/>
          <w:szCs w:val="18"/>
        </w:rPr>
        <w:t>(</w:t>
      </w:r>
      <w:r>
        <w:rPr>
          <w:rFonts w:ascii="Times New Roman" w:eastAsia="Times New Roman" w:hAnsi="Times New Roman" w:cs="Times New Roman"/>
          <w:color w:val="231F20"/>
          <w:sz w:val="18"/>
          <w:szCs w:val="18"/>
        </w:rPr>
        <w:t xml:space="preserve">β </w:t>
      </w:r>
      <w:r>
        <w:rPr>
          <w:color w:val="231F20"/>
          <w:sz w:val="18"/>
          <w:szCs w:val="18"/>
        </w:rPr>
        <w:t>= 0.75, CI 0.58-0.95) and TAPSE (</w:t>
      </w:r>
      <w:r>
        <w:rPr>
          <w:rFonts w:ascii="Times New Roman" w:eastAsia="Times New Roman" w:hAnsi="Times New Roman" w:cs="Times New Roman"/>
          <w:color w:val="231F20"/>
          <w:sz w:val="18"/>
          <w:szCs w:val="18"/>
        </w:rPr>
        <w:t xml:space="preserve">β </w:t>
      </w:r>
      <w:r>
        <w:rPr>
          <w:color w:val="231F20"/>
          <w:sz w:val="18"/>
          <w:szCs w:val="18"/>
        </w:rPr>
        <w:t xml:space="preserve">= 0.75, CI 0.63-0.91). </w:t>
      </w:r>
    </w:p>
    <w:p w14:paraId="000000D3" w14:textId="77777777" w:rsidR="005534B5" w:rsidRDefault="006C3692">
      <w:pPr>
        <w:widowControl w:val="0"/>
        <w:pBdr>
          <w:top w:val="nil"/>
          <w:left w:val="nil"/>
          <w:bottom w:val="nil"/>
          <w:right w:val="nil"/>
          <w:between w:val="nil"/>
        </w:pBdr>
        <w:spacing w:line="245" w:lineRule="auto"/>
        <w:ind w:left="344" w:right="609" w:firstLine="402"/>
        <w:jc w:val="both"/>
        <w:rPr>
          <w:color w:val="231F20"/>
          <w:sz w:val="18"/>
          <w:szCs w:val="18"/>
        </w:rPr>
      </w:pPr>
      <w:r>
        <w:rPr>
          <w:b/>
          <w:color w:val="231F20"/>
          <w:sz w:val="18"/>
          <w:szCs w:val="18"/>
        </w:rPr>
        <w:t xml:space="preserve">Conclusions. </w:t>
      </w:r>
      <w:r>
        <w:rPr>
          <w:color w:val="231F20"/>
          <w:sz w:val="18"/>
          <w:szCs w:val="18"/>
        </w:rPr>
        <w:t xml:space="preserve">Parameters of PFT and DLCO were significantly lower in patients of all PH groups compared </w:t>
      </w:r>
      <w:proofErr w:type="gramStart"/>
      <w:r>
        <w:rPr>
          <w:color w:val="231F20"/>
          <w:sz w:val="18"/>
          <w:szCs w:val="18"/>
        </w:rPr>
        <w:t>to  the</w:t>
      </w:r>
      <w:proofErr w:type="gramEnd"/>
      <w:r>
        <w:rPr>
          <w:color w:val="231F20"/>
          <w:sz w:val="18"/>
          <w:szCs w:val="18"/>
        </w:rPr>
        <w:t xml:space="preserve"> healthy individuals. Patients with PAH-CHD had significantly worse PFT parameters. In the general population </w:t>
      </w:r>
      <w:proofErr w:type="gramStart"/>
      <w:r>
        <w:rPr>
          <w:color w:val="231F20"/>
          <w:sz w:val="18"/>
          <w:szCs w:val="18"/>
        </w:rPr>
        <w:t>of  patients</w:t>
      </w:r>
      <w:proofErr w:type="gramEnd"/>
      <w:r>
        <w:rPr>
          <w:color w:val="231F20"/>
          <w:sz w:val="18"/>
          <w:szCs w:val="18"/>
        </w:rPr>
        <w:t xml:space="preserve"> with PH, PFT indicators, which chara</w:t>
      </w:r>
      <w:r>
        <w:rPr>
          <w:color w:val="231F20"/>
          <w:sz w:val="18"/>
          <w:szCs w:val="18"/>
        </w:rPr>
        <w:t>cterize inspiratory capabilities, were independently correlated with the  area of the right atrium. The reduced DLCO (&lt; 64 %) correlated with the level of hemoglobin, SpO</w:t>
      </w:r>
      <w:r>
        <w:rPr>
          <w:color w:val="231F20"/>
          <w:sz w:val="21"/>
          <w:szCs w:val="21"/>
          <w:vertAlign w:val="subscript"/>
        </w:rPr>
        <w:t>2</w:t>
      </w:r>
      <w:r>
        <w:rPr>
          <w:color w:val="231F20"/>
          <w:sz w:val="12"/>
          <w:szCs w:val="12"/>
        </w:rPr>
        <w:t xml:space="preserve"> </w:t>
      </w:r>
      <w:r>
        <w:rPr>
          <w:color w:val="231F20"/>
          <w:sz w:val="18"/>
          <w:szCs w:val="18"/>
        </w:rPr>
        <w:t xml:space="preserve">and indicators </w:t>
      </w:r>
      <w:proofErr w:type="gramStart"/>
      <w:r>
        <w:rPr>
          <w:color w:val="231F20"/>
          <w:sz w:val="18"/>
          <w:szCs w:val="18"/>
        </w:rPr>
        <w:t>of  the</w:t>
      </w:r>
      <w:proofErr w:type="gramEnd"/>
      <w:r>
        <w:rPr>
          <w:color w:val="231F20"/>
          <w:sz w:val="18"/>
          <w:szCs w:val="18"/>
        </w:rPr>
        <w:t xml:space="preserve"> patient functional state. However, low levels of hemoglobin, </w:t>
      </w:r>
      <w:r>
        <w:rPr>
          <w:color w:val="231F20"/>
          <w:sz w:val="18"/>
          <w:szCs w:val="18"/>
        </w:rPr>
        <w:t>SpO</w:t>
      </w:r>
      <w:r>
        <w:rPr>
          <w:color w:val="231F20"/>
          <w:sz w:val="21"/>
          <w:szCs w:val="21"/>
          <w:vertAlign w:val="subscript"/>
        </w:rPr>
        <w:t>2</w:t>
      </w:r>
      <w:r>
        <w:rPr>
          <w:color w:val="231F20"/>
          <w:sz w:val="18"/>
          <w:szCs w:val="18"/>
        </w:rPr>
        <w:t xml:space="preserve">, and TAPSE were independent predictors of </w:t>
      </w:r>
      <w:proofErr w:type="gramStart"/>
      <w:r>
        <w:rPr>
          <w:color w:val="231F20"/>
          <w:sz w:val="18"/>
          <w:szCs w:val="18"/>
        </w:rPr>
        <w:t>low  DLCO</w:t>
      </w:r>
      <w:proofErr w:type="gramEnd"/>
      <w:r>
        <w:rPr>
          <w:color w:val="231F20"/>
          <w:sz w:val="18"/>
          <w:szCs w:val="18"/>
        </w:rPr>
        <w:t xml:space="preserve">.  </w:t>
      </w:r>
    </w:p>
    <w:p w14:paraId="000000D4" w14:textId="77777777" w:rsidR="005534B5" w:rsidRDefault="006C3692">
      <w:pPr>
        <w:widowControl w:val="0"/>
        <w:pBdr>
          <w:top w:val="nil"/>
          <w:left w:val="nil"/>
          <w:bottom w:val="nil"/>
          <w:right w:val="nil"/>
          <w:between w:val="nil"/>
        </w:pBdr>
        <w:spacing w:before="55" w:line="239" w:lineRule="auto"/>
        <w:ind w:left="346" w:right="609" w:firstLine="405"/>
        <w:rPr>
          <w:color w:val="231F20"/>
          <w:sz w:val="18"/>
          <w:szCs w:val="18"/>
        </w:rPr>
      </w:pPr>
      <w:r>
        <w:rPr>
          <w:b/>
          <w:color w:val="231F20"/>
          <w:sz w:val="18"/>
          <w:szCs w:val="18"/>
        </w:rPr>
        <w:t xml:space="preserve">Key words: </w:t>
      </w:r>
      <w:r>
        <w:rPr>
          <w:color w:val="231F20"/>
          <w:sz w:val="18"/>
          <w:szCs w:val="18"/>
        </w:rPr>
        <w:t xml:space="preserve">pulmonary arterial hypertension, chronic thromboembolic pulmonary hypertension, </w:t>
      </w:r>
      <w:proofErr w:type="gramStart"/>
      <w:r>
        <w:rPr>
          <w:color w:val="231F20"/>
          <w:sz w:val="18"/>
          <w:szCs w:val="18"/>
        </w:rPr>
        <w:t>pulmonary  functional</w:t>
      </w:r>
      <w:proofErr w:type="gramEnd"/>
      <w:r>
        <w:rPr>
          <w:color w:val="231F20"/>
          <w:sz w:val="18"/>
          <w:szCs w:val="18"/>
        </w:rPr>
        <w:t xml:space="preserve"> test, spirometry, diffusion capacity of the lungs for carbon monoxide.</w:t>
      </w:r>
    </w:p>
    <w:sectPr w:rsidR="005534B5">
      <w:type w:val="continuous"/>
      <w:pgSz w:w="12180" w:h="16440"/>
      <w:pgMar w:top="1170" w:right="756" w:bottom="1145" w:left="790" w:header="0" w:footer="720" w:gutter="0"/>
      <w:cols w:space="720" w:equalWidth="0">
        <w:col w:w="10633"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Unicode MS">
    <w:altName w:val="Arial"/>
    <w:panose1 w:val="020B0604020202020204"/>
    <w:charset w:val="00"/>
    <w:family w:val="auto"/>
    <w:pitch w:val="default"/>
  </w:font>
  <w:font w:name="Source Serif 4">
    <w:charset w:val="00"/>
    <w:family w:val="auto"/>
    <w:pitch w:val="default"/>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34B5"/>
    <w:rsid w:val="000523F5"/>
    <w:rsid w:val="005534B5"/>
    <w:rsid w:val="006C3692"/>
    <w:rsid w:val="00AC2D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F144488-6A7E-4EC7-8D62-D1CBDCEF33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7667</Words>
  <Characters>43708</Characters>
  <Application>Microsoft Office Word</Application>
  <DocSecurity>0</DocSecurity>
  <Lines>364</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User</cp:lastModifiedBy>
  <cp:revision>2</cp:revision>
  <dcterms:created xsi:type="dcterms:W3CDTF">2025-06-30T11:30:00Z</dcterms:created>
  <dcterms:modified xsi:type="dcterms:W3CDTF">2025-06-30T11:30:00Z</dcterms:modified>
</cp:coreProperties>
</file>